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000D2F" w:rsidRPr="00000D2F">
        <w:trPr>
          <w:trHeight w:val="295"/>
          <w:jc w:val="center"/>
        </w:trPr>
        <w:tc>
          <w:tcPr>
            <w:tcW w:w="5049" w:type="dxa"/>
            <w:gridSpan w:val="3"/>
          </w:tcPr>
          <w:p w:rsidR="0094424E" w:rsidRPr="00000D2F" w:rsidRDefault="0094424E" w:rsidP="00000D2F">
            <w:pPr>
              <w:suppressLineNumbers/>
              <w:spacing w:line="360" w:lineRule="auto"/>
              <w:rPr>
                <w:rFonts w:ascii="FrankRuehl" w:hAnsi="FrankRuehl" w:cs="FrankRuehl"/>
                <w:b/>
                <w:bCs/>
                <w:noProof w:val="0"/>
                <w:sz w:val="28"/>
                <w:szCs w:val="28"/>
                <w:rtl/>
              </w:rPr>
            </w:pPr>
            <w:bookmarkStart w:id="0" w:name="_GoBack"/>
            <w:bookmarkEnd w:id="0"/>
            <w:r w:rsidRPr="00000D2F">
              <w:rPr>
                <w:rFonts w:ascii="FrankRuehl" w:hAnsi="FrankRuehl" w:cs="FrankRuehl"/>
                <w:sz w:val="28"/>
                <w:szCs w:val="28"/>
                <w:rtl/>
              </w:rPr>
              <w:t xml:space="preserve"> </w:t>
            </w:r>
          </w:p>
        </w:tc>
        <w:tc>
          <w:tcPr>
            <w:tcW w:w="3771" w:type="dxa"/>
          </w:tcPr>
          <w:p w:rsidR="0094424E" w:rsidRPr="00000D2F" w:rsidRDefault="0094424E" w:rsidP="00000D2F">
            <w:pPr>
              <w:suppressLineNumbers/>
              <w:spacing w:line="360" w:lineRule="auto"/>
              <w:rPr>
                <w:rFonts w:ascii="FrankRuehl" w:hAnsi="FrankRuehl" w:cs="FrankRuehl"/>
                <w:b/>
                <w:bCs/>
                <w:noProof w:val="0"/>
                <w:sz w:val="28"/>
                <w:szCs w:val="28"/>
                <w:rtl/>
              </w:rPr>
            </w:pPr>
            <w:r w:rsidRPr="00000D2F">
              <w:rPr>
                <w:rFonts w:ascii="FrankRuehl" w:hAnsi="FrankRuehl" w:cs="FrankRuehl"/>
                <w:b/>
                <w:bCs/>
                <w:noProof w:val="0"/>
                <w:sz w:val="28"/>
                <w:szCs w:val="28"/>
                <w:rtl/>
              </w:rPr>
              <w:t>מספר בקשה:</w:t>
            </w:r>
            <w:r w:rsidR="0078472F" w:rsidRPr="00000D2F">
              <w:rPr>
                <w:rFonts w:ascii="FrankRuehl" w:hAnsi="FrankRuehl" w:cs="FrankRuehl"/>
                <w:b/>
                <w:bCs/>
                <w:noProof w:val="0"/>
                <w:sz w:val="28"/>
                <w:szCs w:val="28"/>
                <w:rtl/>
              </w:rPr>
              <w:t xml:space="preserve"> </w:t>
            </w:r>
            <w:r w:rsidRPr="00000D2F">
              <w:rPr>
                <w:rFonts w:ascii="FrankRuehl" w:hAnsi="FrankRuehl" w:cs="FrankRuehl"/>
                <w:b/>
                <w:bCs/>
                <w:noProof w:val="0"/>
                <w:sz w:val="28"/>
                <w:szCs w:val="28"/>
                <w:rtl/>
              </w:rPr>
              <w:t>2</w:t>
            </w:r>
          </w:p>
        </w:tc>
      </w:tr>
      <w:tr w:rsidR="00000D2F" w:rsidRPr="00000D2F">
        <w:trPr>
          <w:jc w:val="center"/>
        </w:trPr>
        <w:tc>
          <w:tcPr>
            <w:tcW w:w="743" w:type="dxa"/>
          </w:tcPr>
          <w:p w:rsidR="0094424E" w:rsidRPr="00000D2F" w:rsidRDefault="0094424E" w:rsidP="00CD0A5D">
            <w:pPr>
              <w:suppressLineNumbers/>
              <w:jc w:val="both"/>
              <w:rPr>
                <w:rFonts w:ascii="FrankRuehl" w:hAnsi="FrankRuehl" w:cs="FrankRuehl"/>
                <w:b/>
                <w:bCs/>
                <w:sz w:val="28"/>
                <w:szCs w:val="28"/>
                <w:rtl/>
              </w:rPr>
            </w:pPr>
            <w:r w:rsidRPr="00000D2F">
              <w:rPr>
                <w:rFonts w:ascii="FrankRuehl" w:hAnsi="FrankRuehl" w:cs="FrankRuehl"/>
                <w:b/>
                <w:bCs/>
                <w:sz w:val="28"/>
                <w:szCs w:val="28"/>
                <w:rtl/>
              </w:rPr>
              <w:t xml:space="preserve">בפני </w:t>
            </w:r>
          </w:p>
        </w:tc>
        <w:tc>
          <w:tcPr>
            <w:tcW w:w="8077" w:type="dxa"/>
            <w:gridSpan w:val="3"/>
          </w:tcPr>
          <w:p w:rsidR="0094424E" w:rsidRPr="00000D2F" w:rsidRDefault="000529D2" w:rsidP="00CD0A5D">
            <w:pPr>
              <w:suppressLineNumbers/>
              <w:rPr>
                <w:rFonts w:ascii="FrankRuehl" w:hAnsi="FrankRuehl" w:cs="FrankRuehl"/>
                <w:b/>
                <w:bCs/>
                <w:sz w:val="28"/>
                <w:szCs w:val="28"/>
                <w:rtl/>
              </w:rPr>
            </w:pPr>
            <w:r w:rsidRPr="00000D2F">
              <w:rPr>
                <w:rFonts w:ascii="FrankRuehl" w:hAnsi="FrankRuehl" w:cs="FrankRuehl"/>
                <w:b/>
                <w:bCs/>
                <w:sz w:val="28"/>
                <w:szCs w:val="28"/>
                <w:rtl/>
              </w:rPr>
              <w:t>כבוד</w:t>
            </w:r>
            <w:r w:rsidR="0094424E" w:rsidRPr="00000D2F">
              <w:rPr>
                <w:rFonts w:ascii="FrankRuehl" w:hAnsi="FrankRuehl" w:cs="FrankRuehl"/>
                <w:b/>
                <w:bCs/>
                <w:sz w:val="28"/>
                <w:szCs w:val="28"/>
                <w:rtl/>
              </w:rPr>
              <w:t xml:space="preserve"> ה</w:t>
            </w:r>
            <w:r w:rsidRPr="00000D2F">
              <w:rPr>
                <w:rFonts w:ascii="FrankRuehl" w:hAnsi="FrankRuehl" w:cs="FrankRuehl"/>
                <w:b/>
                <w:bCs/>
                <w:sz w:val="28"/>
                <w:szCs w:val="28"/>
                <w:rtl/>
              </w:rPr>
              <w:t>שופטת</w:t>
            </w:r>
            <w:r w:rsidR="0094424E" w:rsidRPr="00000D2F">
              <w:rPr>
                <w:rFonts w:ascii="FrankRuehl" w:hAnsi="FrankRuehl" w:cs="FrankRuehl"/>
                <w:b/>
                <w:bCs/>
                <w:sz w:val="28"/>
                <w:szCs w:val="28"/>
                <w:rtl/>
              </w:rPr>
              <w:t xml:space="preserve">  </w:t>
            </w:r>
            <w:r w:rsidRPr="00000D2F">
              <w:rPr>
                <w:rFonts w:ascii="FrankRuehl" w:hAnsi="FrankRuehl" w:cs="FrankRuehl"/>
                <w:b/>
                <w:bCs/>
                <w:sz w:val="28"/>
                <w:szCs w:val="28"/>
                <w:rtl/>
              </w:rPr>
              <w:t>הילה גורביץ עובדיה</w:t>
            </w:r>
          </w:p>
          <w:p w:rsidR="0094424E" w:rsidRPr="00000D2F" w:rsidRDefault="0094424E" w:rsidP="00CD0A5D">
            <w:pPr>
              <w:suppressLineNumbers/>
              <w:rPr>
                <w:rFonts w:ascii="FrankRuehl" w:hAnsi="FrankRuehl" w:cs="FrankRuehl"/>
                <w:sz w:val="28"/>
                <w:szCs w:val="28"/>
                <w:highlight w:val="yellow"/>
              </w:rPr>
            </w:pPr>
          </w:p>
        </w:tc>
      </w:tr>
      <w:tr w:rsidR="00000D2F" w:rsidRPr="00000D2F" w:rsidTr="00465D36">
        <w:trPr>
          <w:jc w:val="center"/>
        </w:trPr>
        <w:tc>
          <w:tcPr>
            <w:tcW w:w="3249" w:type="dxa"/>
            <w:gridSpan w:val="2"/>
          </w:tcPr>
          <w:p w:rsidR="00847A7A" w:rsidRPr="00000D2F" w:rsidRDefault="0078472F" w:rsidP="00CD0A5D">
            <w:pPr>
              <w:suppressLineNumbers/>
              <w:rPr>
                <w:rFonts w:ascii="FrankRuehl" w:hAnsi="FrankRuehl" w:cs="FrankRuehl"/>
                <w:b/>
                <w:bCs/>
                <w:noProof w:val="0"/>
                <w:sz w:val="28"/>
                <w:szCs w:val="28"/>
                <w:rtl/>
              </w:rPr>
            </w:pPr>
            <w:r w:rsidRPr="00000D2F">
              <w:rPr>
                <w:rFonts w:ascii="FrankRuehl" w:hAnsi="FrankRuehl" w:cs="FrankRuehl"/>
                <w:b/>
                <w:bCs/>
                <w:noProof w:val="0"/>
                <w:sz w:val="28"/>
                <w:szCs w:val="28"/>
                <w:rtl/>
              </w:rPr>
              <w:t>המבקש:</w:t>
            </w:r>
          </w:p>
        </w:tc>
        <w:tc>
          <w:tcPr>
            <w:tcW w:w="5571" w:type="dxa"/>
            <w:gridSpan w:val="2"/>
          </w:tcPr>
          <w:p w:rsidR="0094424E" w:rsidRPr="00000D2F" w:rsidRDefault="006213E4" w:rsidP="006213E4">
            <w:pPr>
              <w:suppressLineNumbers/>
              <w:rPr>
                <w:rFonts w:ascii="FrankRuehl" w:hAnsi="FrankRuehl" w:cs="FrankRuehl"/>
                <w:b/>
                <w:bCs/>
                <w:noProof w:val="0"/>
                <w:sz w:val="28"/>
                <w:szCs w:val="28"/>
                <w:rtl/>
              </w:rPr>
            </w:pPr>
            <w:r>
              <w:rPr>
                <w:rFonts w:ascii="FrankRuehl" w:hAnsi="FrankRuehl" w:cs="FrankRuehl" w:hint="cs"/>
                <w:b/>
                <w:bCs/>
                <w:noProof w:val="0"/>
                <w:sz w:val="28"/>
                <w:szCs w:val="28"/>
                <w:rtl/>
              </w:rPr>
              <w:t>מ.ת. 1</w:t>
            </w:r>
            <w:r w:rsidR="00E54CD9" w:rsidRPr="00000D2F">
              <w:rPr>
                <w:rFonts w:ascii="FrankRuehl" w:hAnsi="FrankRuehl" w:cs="FrankRuehl"/>
                <w:b/>
                <w:bCs/>
                <w:noProof w:val="0"/>
                <w:sz w:val="28"/>
                <w:szCs w:val="28"/>
                <w:rtl/>
              </w:rPr>
              <w:t xml:space="preserve"> </w:t>
            </w:r>
            <w:r w:rsidR="00897DAF" w:rsidRPr="00000D2F">
              <w:rPr>
                <w:rFonts w:ascii="FrankRuehl" w:hAnsi="FrankRuehl" w:cs="FrankRuehl"/>
                <w:b/>
                <w:bCs/>
                <w:noProof w:val="0"/>
                <w:sz w:val="28"/>
                <w:szCs w:val="28"/>
                <w:rtl/>
              </w:rPr>
              <w:t>ת"ז</w:t>
            </w:r>
            <w:r w:rsidR="00E54CD9" w:rsidRPr="00000D2F">
              <w:rPr>
                <w:rFonts w:ascii="FrankRuehl" w:hAnsi="FrankRuehl" w:cs="FrankRuehl"/>
                <w:b/>
                <w:bCs/>
                <w:noProof w:val="0"/>
                <w:sz w:val="28"/>
                <w:szCs w:val="28"/>
                <w:rtl/>
              </w:rPr>
              <w:t xml:space="preserve"> </w:t>
            </w:r>
            <w:r>
              <w:rPr>
                <w:rFonts w:ascii="FrankRuehl" w:hAnsi="FrankRuehl" w:cs="FrankRuehl" w:hint="cs"/>
                <w:b/>
                <w:bCs/>
                <w:noProof w:val="0"/>
                <w:sz w:val="28"/>
                <w:szCs w:val="28"/>
                <w:rtl/>
              </w:rPr>
              <w:t>--------</w:t>
            </w:r>
          </w:p>
          <w:p w:rsidR="00E077FD" w:rsidRPr="00000D2F" w:rsidRDefault="00E077FD" w:rsidP="00CD0A5D">
            <w:pPr>
              <w:suppressLineNumbers/>
              <w:rPr>
                <w:rFonts w:ascii="FrankRuehl" w:hAnsi="FrankRuehl" w:cs="FrankRuehl"/>
                <w:b/>
                <w:bCs/>
                <w:noProof w:val="0"/>
                <w:sz w:val="28"/>
                <w:szCs w:val="28"/>
              </w:rPr>
            </w:pPr>
            <w:r w:rsidRPr="00000D2F">
              <w:rPr>
                <w:rFonts w:ascii="FrankRuehl" w:hAnsi="FrankRuehl" w:cs="FrankRuehl"/>
                <w:b/>
                <w:bCs/>
                <w:noProof w:val="0"/>
                <w:sz w:val="28"/>
                <w:szCs w:val="28"/>
                <w:rtl/>
              </w:rPr>
              <w:t>ע"י ב"כ עוה"ד דוד אמסלם</w:t>
            </w:r>
          </w:p>
        </w:tc>
      </w:tr>
      <w:tr w:rsidR="00000D2F" w:rsidRPr="00000D2F">
        <w:trPr>
          <w:jc w:val="center"/>
        </w:trPr>
        <w:tc>
          <w:tcPr>
            <w:tcW w:w="8820" w:type="dxa"/>
            <w:gridSpan w:val="4"/>
          </w:tcPr>
          <w:p w:rsidR="0094424E" w:rsidRPr="00000D2F" w:rsidRDefault="0094424E" w:rsidP="00CD0A5D">
            <w:pPr>
              <w:suppressLineNumbers/>
              <w:rPr>
                <w:rFonts w:ascii="FrankRuehl" w:hAnsi="FrankRuehl" w:cs="FrankRuehl"/>
                <w:b/>
                <w:bCs/>
                <w:noProof w:val="0"/>
                <w:sz w:val="28"/>
                <w:szCs w:val="28"/>
                <w:rtl/>
              </w:rPr>
            </w:pPr>
          </w:p>
          <w:p w:rsidR="0094424E" w:rsidRPr="00000D2F" w:rsidRDefault="0094424E" w:rsidP="00CD0A5D">
            <w:pPr>
              <w:suppressLineNumbers/>
              <w:jc w:val="center"/>
              <w:rPr>
                <w:rFonts w:ascii="FrankRuehl" w:hAnsi="FrankRuehl" w:cs="FrankRuehl"/>
                <w:b/>
                <w:bCs/>
                <w:noProof w:val="0"/>
                <w:sz w:val="28"/>
                <w:szCs w:val="28"/>
                <w:rtl/>
              </w:rPr>
            </w:pPr>
            <w:r w:rsidRPr="00000D2F">
              <w:rPr>
                <w:rFonts w:ascii="FrankRuehl" w:hAnsi="FrankRuehl" w:cs="FrankRuehl"/>
                <w:b/>
                <w:bCs/>
                <w:noProof w:val="0"/>
                <w:sz w:val="28"/>
                <w:szCs w:val="28"/>
                <w:rtl/>
              </w:rPr>
              <w:t>נגד</w:t>
            </w:r>
          </w:p>
          <w:p w:rsidR="0094424E" w:rsidRPr="00000D2F" w:rsidRDefault="0094424E" w:rsidP="00CD0A5D">
            <w:pPr>
              <w:suppressLineNumbers/>
              <w:rPr>
                <w:rFonts w:ascii="FrankRuehl" w:hAnsi="FrankRuehl" w:cs="FrankRuehl"/>
                <w:b/>
                <w:bCs/>
                <w:noProof w:val="0"/>
                <w:sz w:val="28"/>
                <w:szCs w:val="28"/>
              </w:rPr>
            </w:pPr>
          </w:p>
        </w:tc>
      </w:tr>
      <w:tr w:rsidR="00000D2F" w:rsidRPr="00000D2F">
        <w:trPr>
          <w:jc w:val="center"/>
        </w:trPr>
        <w:tc>
          <w:tcPr>
            <w:tcW w:w="3249" w:type="dxa"/>
            <w:gridSpan w:val="2"/>
          </w:tcPr>
          <w:p w:rsidR="0094424E" w:rsidRPr="00000D2F" w:rsidRDefault="0078472F" w:rsidP="00CD0A5D">
            <w:pPr>
              <w:suppressLineNumbers/>
              <w:rPr>
                <w:rFonts w:ascii="FrankRuehl" w:hAnsi="FrankRuehl" w:cs="FrankRuehl"/>
                <w:b/>
                <w:bCs/>
                <w:noProof w:val="0"/>
                <w:sz w:val="28"/>
                <w:szCs w:val="28"/>
              </w:rPr>
            </w:pPr>
            <w:r w:rsidRPr="00000D2F">
              <w:rPr>
                <w:rFonts w:ascii="FrankRuehl" w:hAnsi="FrankRuehl" w:cs="FrankRuehl"/>
                <w:b/>
                <w:bCs/>
                <w:noProof w:val="0"/>
                <w:sz w:val="28"/>
                <w:szCs w:val="28"/>
                <w:rtl/>
              </w:rPr>
              <w:t>המשיבה:</w:t>
            </w:r>
          </w:p>
        </w:tc>
        <w:tc>
          <w:tcPr>
            <w:tcW w:w="5571" w:type="dxa"/>
            <w:gridSpan w:val="2"/>
          </w:tcPr>
          <w:p w:rsidR="00CF6BB7" w:rsidRPr="00000D2F" w:rsidRDefault="006213E4" w:rsidP="00CD0A5D">
            <w:pPr>
              <w:suppressLineNumbers/>
              <w:rPr>
                <w:rFonts w:ascii="FrankRuehl" w:hAnsi="FrankRuehl" w:cs="FrankRuehl"/>
                <w:b/>
                <w:bCs/>
                <w:noProof w:val="0"/>
                <w:sz w:val="28"/>
                <w:szCs w:val="28"/>
                <w:rtl/>
              </w:rPr>
            </w:pPr>
            <w:r>
              <w:rPr>
                <w:rFonts w:ascii="FrankRuehl" w:hAnsi="FrankRuehl" w:cs="FrankRuehl" w:hint="cs"/>
                <w:b/>
                <w:bCs/>
                <w:noProof w:val="0"/>
                <w:sz w:val="28"/>
                <w:szCs w:val="28"/>
                <w:rtl/>
              </w:rPr>
              <w:t xml:space="preserve">מ.ת. 2 </w:t>
            </w:r>
            <w:r w:rsidR="00897DAF" w:rsidRPr="00000D2F">
              <w:rPr>
                <w:rFonts w:ascii="FrankRuehl" w:hAnsi="FrankRuehl" w:cs="FrankRuehl"/>
                <w:b/>
                <w:bCs/>
                <w:noProof w:val="0"/>
                <w:sz w:val="28"/>
                <w:szCs w:val="28"/>
                <w:rtl/>
              </w:rPr>
              <w:t>ת"ז</w:t>
            </w:r>
            <w:r w:rsidR="00E54CD9" w:rsidRPr="00000D2F">
              <w:rPr>
                <w:rFonts w:ascii="FrankRuehl" w:hAnsi="FrankRuehl" w:cs="FrankRuehl"/>
                <w:b/>
                <w:bCs/>
                <w:noProof w:val="0"/>
                <w:sz w:val="28"/>
                <w:szCs w:val="28"/>
                <w:rtl/>
              </w:rPr>
              <w:t xml:space="preserve"> </w:t>
            </w:r>
            <w:r>
              <w:rPr>
                <w:rFonts w:ascii="FrankRuehl" w:hAnsi="FrankRuehl" w:cs="FrankRuehl" w:hint="cs"/>
                <w:b/>
                <w:bCs/>
                <w:noProof w:val="0"/>
                <w:sz w:val="28"/>
                <w:szCs w:val="28"/>
                <w:rtl/>
              </w:rPr>
              <w:t>--------</w:t>
            </w:r>
          </w:p>
          <w:p w:rsidR="00E077FD" w:rsidRPr="00000D2F" w:rsidRDefault="00E077FD" w:rsidP="00CD0A5D">
            <w:pPr>
              <w:suppressLineNumbers/>
              <w:rPr>
                <w:rFonts w:ascii="FrankRuehl" w:hAnsi="FrankRuehl" w:cs="FrankRuehl"/>
                <w:b/>
                <w:bCs/>
                <w:noProof w:val="0"/>
                <w:sz w:val="28"/>
                <w:szCs w:val="28"/>
                <w:rtl/>
              </w:rPr>
            </w:pPr>
            <w:r w:rsidRPr="00000D2F">
              <w:rPr>
                <w:rFonts w:ascii="FrankRuehl" w:hAnsi="FrankRuehl" w:cs="FrankRuehl"/>
                <w:b/>
                <w:bCs/>
                <w:noProof w:val="0"/>
                <w:sz w:val="28"/>
                <w:szCs w:val="28"/>
                <w:rtl/>
              </w:rPr>
              <w:t>ע"י ב"כ עוה"ד אלן אושרת</w:t>
            </w:r>
          </w:p>
        </w:tc>
      </w:tr>
      <w:tr w:rsidR="00000D2F" w:rsidRPr="00000D2F">
        <w:trPr>
          <w:jc w:val="center"/>
        </w:trPr>
        <w:tc>
          <w:tcPr>
            <w:tcW w:w="8820" w:type="dxa"/>
            <w:gridSpan w:val="4"/>
          </w:tcPr>
          <w:p w:rsidR="00645B60" w:rsidRPr="00645B60" w:rsidRDefault="00645B60" w:rsidP="00000D2F">
            <w:pPr>
              <w:bidi w:val="0"/>
              <w:spacing w:line="360" w:lineRule="auto"/>
              <w:jc w:val="center"/>
              <w:rPr>
                <w:rFonts w:ascii="FrankRuehl" w:hAnsi="FrankRuehl" w:cs="FrankRuehl"/>
                <w:b/>
                <w:bCs/>
                <w:noProof w:val="0"/>
                <w:sz w:val="10"/>
                <w:szCs w:val="10"/>
                <w:u w:val="single"/>
              </w:rPr>
            </w:pPr>
          </w:p>
          <w:p w:rsidR="00694556" w:rsidRPr="00000D2F" w:rsidRDefault="00845768" w:rsidP="00645B60">
            <w:pPr>
              <w:bidi w:val="0"/>
              <w:spacing w:line="360" w:lineRule="auto"/>
              <w:jc w:val="center"/>
              <w:rPr>
                <w:rFonts w:ascii="FrankRuehl" w:hAnsi="FrankRuehl" w:cs="FrankRuehl"/>
                <w:b/>
                <w:bCs/>
                <w:noProof w:val="0"/>
                <w:sz w:val="32"/>
                <w:szCs w:val="32"/>
                <w:u w:val="single"/>
              </w:rPr>
            </w:pPr>
            <w:r w:rsidRPr="00000D2F">
              <w:rPr>
                <w:rFonts w:ascii="FrankRuehl" w:hAnsi="FrankRuehl" w:cs="FrankRuehl"/>
                <w:b/>
                <w:bCs/>
                <w:noProof w:val="0"/>
                <w:sz w:val="32"/>
                <w:szCs w:val="32"/>
                <w:u w:val="single"/>
                <w:rtl/>
              </w:rPr>
              <w:t>פסק דין</w:t>
            </w:r>
          </w:p>
          <w:p w:rsidR="00D44968" w:rsidRPr="00645B60" w:rsidRDefault="00D44968" w:rsidP="00000D2F">
            <w:pPr>
              <w:bidi w:val="0"/>
              <w:spacing w:line="360" w:lineRule="auto"/>
              <w:jc w:val="center"/>
              <w:rPr>
                <w:rFonts w:ascii="FrankRuehl" w:hAnsi="FrankRuehl" w:cs="FrankRuehl"/>
                <w:b/>
                <w:bCs/>
                <w:noProof w:val="0"/>
                <w:sz w:val="12"/>
                <w:szCs w:val="12"/>
                <w:u w:val="single"/>
              </w:rPr>
            </w:pPr>
          </w:p>
        </w:tc>
      </w:tr>
    </w:tbl>
    <w:p w:rsidR="00694556" w:rsidRPr="00000D2F" w:rsidRDefault="0078472F" w:rsidP="00645B60">
      <w:pPr>
        <w:spacing w:line="360" w:lineRule="auto"/>
        <w:jc w:val="both"/>
        <w:rPr>
          <w:rFonts w:ascii="FrankRuehl" w:hAnsi="FrankRuehl" w:cs="FrankRuehl"/>
          <w:noProof w:val="0"/>
          <w:sz w:val="28"/>
          <w:szCs w:val="28"/>
          <w:rtl/>
        </w:rPr>
      </w:pPr>
      <w:bookmarkStart w:id="1" w:name="NGCSBookmark"/>
      <w:bookmarkEnd w:id="1"/>
      <w:r w:rsidRPr="00000D2F">
        <w:rPr>
          <w:rFonts w:ascii="FrankRuehl" w:hAnsi="FrankRuehl" w:cs="FrankRuehl"/>
          <w:noProof w:val="0"/>
          <w:sz w:val="28"/>
          <w:szCs w:val="28"/>
          <w:rtl/>
        </w:rPr>
        <w:t>המבקש הגיש בקשה לסילוק על הסף</w:t>
      </w:r>
      <w:r w:rsidR="00EC6377">
        <w:rPr>
          <w:rFonts w:ascii="FrankRuehl" w:hAnsi="FrankRuehl" w:cs="FrankRuehl" w:hint="cs"/>
          <w:noProof w:val="0"/>
          <w:sz w:val="28"/>
          <w:szCs w:val="28"/>
          <w:rtl/>
        </w:rPr>
        <w:t xml:space="preserve"> בטענה כי לאור העובדה שהסכם הממון בין הצדדים אושר בבית הדין הרבני, הרי הסמכות לדון בתובענה היא לבי</w:t>
      </w:r>
      <w:r w:rsidR="00CD0A5D">
        <w:rPr>
          <w:rFonts w:ascii="FrankRuehl" w:hAnsi="FrankRuehl" w:cs="FrankRuehl" w:hint="cs"/>
          <w:noProof w:val="0"/>
          <w:sz w:val="28"/>
          <w:szCs w:val="28"/>
          <w:rtl/>
        </w:rPr>
        <w:t>ת הדין הרבני מכלל הסמכות הנמשכת</w:t>
      </w:r>
      <w:r w:rsidR="00EC6377">
        <w:rPr>
          <w:rFonts w:ascii="FrankRuehl" w:hAnsi="FrankRuehl" w:cs="FrankRuehl" w:hint="cs"/>
          <w:noProof w:val="0"/>
          <w:sz w:val="28"/>
          <w:szCs w:val="28"/>
          <w:rtl/>
        </w:rPr>
        <w:t>.</w:t>
      </w:r>
      <w:r w:rsidR="00E537C9">
        <w:rPr>
          <w:rFonts w:ascii="FrankRuehl" w:hAnsi="FrankRuehl" w:cs="FrankRuehl" w:hint="cs"/>
          <w:noProof w:val="0"/>
          <w:sz w:val="28"/>
          <w:szCs w:val="28"/>
          <w:rtl/>
        </w:rPr>
        <w:t xml:space="preserve"> </w:t>
      </w:r>
    </w:p>
    <w:p w:rsidR="0078472F" w:rsidRPr="00000D2F" w:rsidRDefault="0078472F" w:rsidP="00000D2F">
      <w:pPr>
        <w:spacing w:line="360" w:lineRule="auto"/>
        <w:jc w:val="both"/>
        <w:rPr>
          <w:rFonts w:ascii="FrankRuehl" w:hAnsi="FrankRuehl" w:cs="FrankRuehl"/>
          <w:noProof w:val="0"/>
          <w:sz w:val="28"/>
          <w:szCs w:val="28"/>
          <w:rtl/>
        </w:rPr>
      </w:pPr>
    </w:p>
    <w:p w:rsidR="0078472F" w:rsidRPr="00000D2F" w:rsidRDefault="0078472F" w:rsidP="00645B60">
      <w:pPr>
        <w:spacing w:line="360" w:lineRule="auto"/>
        <w:jc w:val="both"/>
        <w:rPr>
          <w:rFonts w:ascii="FrankRuehl" w:hAnsi="FrankRuehl" w:cs="FrankRuehl"/>
          <w:noProof w:val="0"/>
          <w:sz w:val="28"/>
          <w:szCs w:val="28"/>
          <w:rtl/>
        </w:rPr>
      </w:pPr>
      <w:r w:rsidRPr="00000D2F">
        <w:rPr>
          <w:rFonts w:ascii="FrankRuehl" w:hAnsi="FrankRuehl" w:cs="FrankRuehl"/>
          <w:noProof w:val="0"/>
          <w:sz w:val="28"/>
          <w:szCs w:val="28"/>
          <w:rtl/>
        </w:rPr>
        <w:t xml:space="preserve">בבקשה </w:t>
      </w:r>
      <w:r w:rsidR="00645B60">
        <w:rPr>
          <w:rFonts w:ascii="FrankRuehl" w:hAnsi="FrankRuehl" w:cs="FrankRuehl" w:hint="cs"/>
          <w:noProof w:val="0"/>
          <w:sz w:val="28"/>
          <w:szCs w:val="28"/>
          <w:rtl/>
        </w:rPr>
        <w:t xml:space="preserve">נטען, </w:t>
      </w:r>
      <w:r w:rsidRPr="00000D2F">
        <w:rPr>
          <w:rFonts w:ascii="FrankRuehl" w:hAnsi="FrankRuehl" w:cs="FrankRuehl"/>
          <w:noProof w:val="0"/>
          <w:sz w:val="28"/>
          <w:szCs w:val="28"/>
          <w:rtl/>
        </w:rPr>
        <w:t>כי תביעת התובעת לבטל חלק מסעיפי הסכם הגירושין או שינוי סעיפים היא בסמכות בית הדין הרבני בפניו ניהלו הצדדים הליך גירושין "</w:t>
      </w:r>
      <w:r w:rsidRPr="00000D2F">
        <w:rPr>
          <w:rFonts w:ascii="FrankRuehl" w:hAnsi="FrankRuehl" w:cs="Miriam"/>
          <w:noProof w:val="0"/>
          <w:sz w:val="28"/>
          <w:rtl/>
        </w:rPr>
        <w:t>ארוך ומייגע</w:t>
      </w:r>
      <w:r w:rsidRPr="00000D2F">
        <w:rPr>
          <w:rFonts w:ascii="FrankRuehl" w:hAnsi="FrankRuehl" w:cs="FrankRuehl"/>
          <w:noProof w:val="0"/>
          <w:sz w:val="28"/>
          <w:szCs w:val="28"/>
          <w:rtl/>
        </w:rPr>
        <w:t xml:space="preserve">" </w:t>
      </w:r>
      <w:r w:rsidR="00F320CC" w:rsidRPr="00000D2F">
        <w:rPr>
          <w:rFonts w:ascii="FrankRuehl" w:hAnsi="FrankRuehl" w:cs="FrankRuehl"/>
          <w:noProof w:val="0"/>
          <w:sz w:val="28"/>
          <w:szCs w:val="28"/>
          <w:rtl/>
        </w:rPr>
        <w:t>מֶשך</w:t>
      </w:r>
      <w:r w:rsidR="00F320CC" w:rsidRPr="00000D2F">
        <w:rPr>
          <w:rFonts w:ascii="FrankRuehl" w:hAnsi="FrankRuehl" w:cs="FrankRuehl" w:hint="cs"/>
          <w:noProof w:val="0"/>
          <w:sz w:val="28"/>
          <w:szCs w:val="28"/>
          <w:rtl/>
        </w:rPr>
        <w:t xml:space="preserve"> </w:t>
      </w:r>
      <w:r w:rsidRPr="00000D2F">
        <w:rPr>
          <w:rFonts w:ascii="FrankRuehl" w:hAnsi="FrankRuehl" w:cs="FrankRuehl"/>
          <w:noProof w:val="0"/>
          <w:sz w:val="28"/>
          <w:szCs w:val="28"/>
          <w:rtl/>
        </w:rPr>
        <w:t>כ-5 שנים, וכי ההסכם גו</w:t>
      </w:r>
      <w:r w:rsidR="00F320CC" w:rsidRPr="00000D2F">
        <w:rPr>
          <w:rFonts w:ascii="FrankRuehl" w:hAnsi="FrankRuehl" w:cs="FrankRuehl" w:hint="cs"/>
          <w:noProof w:val="0"/>
          <w:sz w:val="28"/>
          <w:szCs w:val="28"/>
          <w:rtl/>
        </w:rPr>
        <w:t>ּ</w:t>
      </w:r>
      <w:r w:rsidRPr="00000D2F">
        <w:rPr>
          <w:rFonts w:ascii="FrankRuehl" w:hAnsi="FrankRuehl" w:cs="FrankRuehl"/>
          <w:noProof w:val="0"/>
          <w:sz w:val="28"/>
          <w:szCs w:val="28"/>
          <w:rtl/>
        </w:rPr>
        <w:t>בש במסגרת ההליך שם. עוד נטען כי ביום 22.10.2014 או</w:t>
      </w:r>
      <w:r w:rsidR="00F320CC" w:rsidRPr="00000D2F">
        <w:rPr>
          <w:rFonts w:ascii="FrankRuehl" w:hAnsi="FrankRuehl" w:cs="FrankRuehl" w:hint="cs"/>
          <w:noProof w:val="0"/>
          <w:sz w:val="28"/>
          <w:szCs w:val="28"/>
          <w:rtl/>
        </w:rPr>
        <w:t>ּ</w:t>
      </w:r>
      <w:r w:rsidRPr="00000D2F">
        <w:rPr>
          <w:rFonts w:ascii="FrankRuehl" w:hAnsi="FrankRuehl" w:cs="FrankRuehl"/>
          <w:noProof w:val="0"/>
          <w:sz w:val="28"/>
          <w:szCs w:val="28"/>
          <w:rtl/>
        </w:rPr>
        <w:t xml:space="preserve">שר </w:t>
      </w:r>
      <w:r w:rsidR="00F320CC" w:rsidRPr="00000D2F">
        <w:rPr>
          <w:rFonts w:ascii="FrankRuehl" w:hAnsi="FrankRuehl" w:cs="FrankRuehl" w:hint="cs"/>
          <w:noProof w:val="0"/>
          <w:sz w:val="28"/>
          <w:szCs w:val="28"/>
          <w:rtl/>
        </w:rPr>
        <w:t xml:space="preserve">ההסכם </w:t>
      </w:r>
      <w:r w:rsidRPr="00000D2F">
        <w:rPr>
          <w:rFonts w:ascii="FrankRuehl" w:hAnsi="FrankRuehl" w:cs="FrankRuehl"/>
          <w:noProof w:val="0"/>
          <w:sz w:val="28"/>
          <w:szCs w:val="28"/>
          <w:rtl/>
        </w:rPr>
        <w:t>כהסכם ממון וניתן לו תוקף ש</w:t>
      </w:r>
      <w:r w:rsidR="00F320CC" w:rsidRPr="00000D2F">
        <w:rPr>
          <w:rFonts w:ascii="FrankRuehl" w:hAnsi="FrankRuehl" w:cs="FrankRuehl"/>
          <w:noProof w:val="0"/>
          <w:sz w:val="28"/>
          <w:szCs w:val="28"/>
          <w:rtl/>
        </w:rPr>
        <w:t>ל פס</w:t>
      </w:r>
      <w:r w:rsidR="00F320CC" w:rsidRPr="00000D2F">
        <w:rPr>
          <w:rFonts w:ascii="FrankRuehl" w:hAnsi="FrankRuehl" w:cs="FrankRuehl" w:hint="cs"/>
          <w:noProof w:val="0"/>
          <w:sz w:val="28"/>
          <w:szCs w:val="28"/>
          <w:rtl/>
        </w:rPr>
        <w:t>ק דין</w:t>
      </w:r>
      <w:r w:rsidRPr="00000D2F">
        <w:rPr>
          <w:rFonts w:ascii="FrankRuehl" w:hAnsi="FrankRuehl" w:cs="FrankRuehl"/>
          <w:noProof w:val="0"/>
          <w:sz w:val="28"/>
          <w:szCs w:val="28"/>
          <w:rtl/>
        </w:rPr>
        <w:t>. בהמשך, ביום 04.02.2015, הגיעו הצדדים להסכמות נוספות אשר שינו מההסכם</w:t>
      </w:r>
      <w:r w:rsidR="00F320CC" w:rsidRPr="00000D2F">
        <w:rPr>
          <w:rFonts w:ascii="FrankRuehl" w:hAnsi="FrankRuehl" w:cs="FrankRuehl" w:hint="cs"/>
          <w:noProof w:val="0"/>
          <w:sz w:val="28"/>
          <w:szCs w:val="28"/>
          <w:rtl/>
        </w:rPr>
        <w:t>,</w:t>
      </w:r>
      <w:r w:rsidRPr="00000D2F">
        <w:rPr>
          <w:rFonts w:ascii="FrankRuehl" w:hAnsi="FrankRuehl" w:cs="FrankRuehl"/>
          <w:noProof w:val="0"/>
          <w:sz w:val="28"/>
          <w:szCs w:val="28"/>
          <w:rtl/>
        </w:rPr>
        <w:t xml:space="preserve"> והסכמות </w:t>
      </w:r>
      <w:r w:rsidR="00F320CC" w:rsidRPr="00000D2F">
        <w:rPr>
          <w:rFonts w:ascii="FrankRuehl" w:hAnsi="FrankRuehl" w:cs="FrankRuehl"/>
          <w:noProof w:val="0"/>
          <w:sz w:val="28"/>
          <w:szCs w:val="28"/>
          <w:rtl/>
        </w:rPr>
        <w:t>אלו אושרו וניתן להן תוקף של פס</w:t>
      </w:r>
      <w:r w:rsidR="00F320CC" w:rsidRPr="00000D2F">
        <w:rPr>
          <w:rFonts w:ascii="FrankRuehl" w:hAnsi="FrankRuehl" w:cs="FrankRuehl" w:hint="cs"/>
          <w:noProof w:val="0"/>
          <w:sz w:val="28"/>
          <w:szCs w:val="28"/>
          <w:rtl/>
        </w:rPr>
        <w:t>ק דין</w:t>
      </w:r>
      <w:r w:rsidRPr="00000D2F">
        <w:rPr>
          <w:rFonts w:ascii="FrankRuehl" w:hAnsi="FrankRuehl" w:cs="FrankRuehl"/>
          <w:noProof w:val="0"/>
          <w:sz w:val="28"/>
          <w:szCs w:val="28"/>
          <w:rtl/>
        </w:rPr>
        <w:t xml:space="preserve"> ביום 05.02.2015. נטען כי התביעה דנן</w:t>
      </w:r>
      <w:r w:rsidR="00F320CC" w:rsidRPr="00000D2F">
        <w:rPr>
          <w:rFonts w:ascii="FrankRuehl" w:hAnsi="FrankRuehl" w:cs="FrankRuehl" w:hint="cs"/>
          <w:noProof w:val="0"/>
          <w:sz w:val="28"/>
          <w:szCs w:val="28"/>
          <w:rtl/>
        </w:rPr>
        <w:t>,</w:t>
      </w:r>
      <w:r w:rsidRPr="00000D2F">
        <w:rPr>
          <w:rFonts w:ascii="FrankRuehl" w:hAnsi="FrankRuehl" w:cs="FrankRuehl"/>
          <w:noProof w:val="0"/>
          <w:sz w:val="28"/>
          <w:szCs w:val="28"/>
          <w:rtl/>
        </w:rPr>
        <w:t xml:space="preserve"> שהוגשה כ-8 שנ</w:t>
      </w:r>
      <w:r w:rsidR="00F320CC" w:rsidRPr="00000D2F">
        <w:rPr>
          <w:rFonts w:ascii="FrankRuehl" w:hAnsi="FrankRuehl" w:cs="FrankRuehl"/>
          <w:noProof w:val="0"/>
          <w:sz w:val="28"/>
          <w:szCs w:val="28"/>
          <w:rtl/>
        </w:rPr>
        <w:t xml:space="preserve">ים לאחר אישור ההסכם כהסכם ממון </w:t>
      </w:r>
      <w:r w:rsidR="00F320CC" w:rsidRPr="00000D2F">
        <w:rPr>
          <w:rFonts w:ascii="FrankRuehl" w:hAnsi="FrankRuehl" w:cs="FrankRuehl" w:hint="cs"/>
          <w:noProof w:val="0"/>
          <w:sz w:val="28"/>
          <w:szCs w:val="28"/>
          <w:rtl/>
        </w:rPr>
        <w:t>ו</w:t>
      </w:r>
      <w:r w:rsidRPr="00000D2F">
        <w:rPr>
          <w:rFonts w:ascii="FrankRuehl" w:hAnsi="FrankRuehl" w:cs="FrankRuehl"/>
          <w:noProof w:val="0"/>
          <w:sz w:val="28"/>
          <w:szCs w:val="28"/>
          <w:rtl/>
        </w:rPr>
        <w:t>פסק הדין היא בסמכות בית הדין הרבני, הוגשה בשיהוי רב וקיצוני, חלה התיישנות והתביעה "</w:t>
      </w:r>
      <w:r w:rsidRPr="00000D2F">
        <w:rPr>
          <w:rFonts w:ascii="FrankRuehl" w:hAnsi="FrankRuehl" w:cs="Miriam"/>
          <w:noProof w:val="0"/>
          <w:sz w:val="28"/>
          <w:rtl/>
        </w:rPr>
        <w:t>הזויה</w:t>
      </w:r>
      <w:r w:rsidRPr="00000D2F">
        <w:rPr>
          <w:rFonts w:ascii="FrankRuehl" w:hAnsi="FrankRuehl" w:cs="FrankRuehl"/>
          <w:noProof w:val="0"/>
          <w:sz w:val="28"/>
          <w:szCs w:val="28"/>
          <w:rtl/>
        </w:rPr>
        <w:t xml:space="preserve">". נטען כי לבית הדין הרבני סמכות נמשכת לדון בתביעה. המבקש הדגיש כי הצדדים ניהלו מספר רב של הליכים מורכבים משך כ-5 שנים בבית הדין הרבני ופסק הדין </w:t>
      </w:r>
      <w:r w:rsidR="00EE23E0" w:rsidRPr="00000D2F">
        <w:rPr>
          <w:rFonts w:ascii="FrankRuehl" w:hAnsi="FrankRuehl" w:cs="FrankRuehl"/>
          <w:noProof w:val="0"/>
          <w:sz w:val="28"/>
          <w:szCs w:val="28"/>
          <w:rtl/>
        </w:rPr>
        <w:t>של בית הדין הרבני מהווה מעשה בי</w:t>
      </w:r>
      <w:r w:rsidRPr="00000D2F">
        <w:rPr>
          <w:rFonts w:ascii="FrankRuehl" w:hAnsi="FrankRuehl" w:cs="FrankRuehl"/>
          <w:noProof w:val="0"/>
          <w:sz w:val="28"/>
          <w:szCs w:val="28"/>
          <w:rtl/>
        </w:rPr>
        <w:t xml:space="preserve"> דין.</w:t>
      </w:r>
      <w:r w:rsidR="00EE23E0" w:rsidRPr="00000D2F">
        <w:rPr>
          <w:rFonts w:ascii="FrankRuehl" w:hAnsi="FrankRuehl" w:cs="FrankRuehl"/>
          <w:noProof w:val="0"/>
          <w:sz w:val="28"/>
          <w:szCs w:val="28"/>
          <w:rtl/>
        </w:rPr>
        <w:t xml:space="preserve"> נ</w:t>
      </w:r>
      <w:r w:rsidR="00645B60">
        <w:rPr>
          <w:rFonts w:ascii="FrankRuehl" w:hAnsi="FrankRuehl" w:cs="FrankRuehl"/>
          <w:noProof w:val="0"/>
          <w:sz w:val="28"/>
          <w:szCs w:val="28"/>
          <w:rtl/>
        </w:rPr>
        <w:t xml:space="preserve">טען כי התביעה נסמכת על הטענה </w:t>
      </w:r>
      <w:r w:rsidR="00645B60">
        <w:rPr>
          <w:rFonts w:ascii="FrankRuehl" w:hAnsi="FrankRuehl" w:cs="FrankRuehl" w:hint="cs"/>
          <w:noProof w:val="0"/>
          <w:sz w:val="28"/>
          <w:szCs w:val="28"/>
          <w:rtl/>
        </w:rPr>
        <w:t>ש</w:t>
      </w:r>
      <w:r w:rsidR="00EE23E0" w:rsidRPr="00000D2F">
        <w:rPr>
          <w:rFonts w:ascii="FrankRuehl" w:hAnsi="FrankRuehl" w:cs="FrankRuehl"/>
          <w:noProof w:val="0"/>
          <w:sz w:val="28"/>
          <w:szCs w:val="28"/>
          <w:rtl/>
        </w:rPr>
        <w:t>בהסכם סעיף לא חוקי הנוגד את סעיפים 8 ו-27 לחוק הירושה התשכ"ה-1965 ובשל ע</w:t>
      </w:r>
      <w:r w:rsidR="00F320CC" w:rsidRPr="00000D2F">
        <w:rPr>
          <w:rFonts w:ascii="FrankRuehl" w:hAnsi="FrankRuehl" w:cs="FrankRuehl" w:hint="cs"/>
          <w:noProof w:val="0"/>
          <w:sz w:val="28"/>
          <w:szCs w:val="28"/>
          <w:rtl/>
        </w:rPr>
        <w:t>ִ</w:t>
      </w:r>
      <w:r w:rsidR="00EE23E0" w:rsidRPr="00000D2F">
        <w:rPr>
          <w:rFonts w:ascii="FrankRuehl" w:hAnsi="FrankRuehl" w:cs="FrankRuehl"/>
          <w:noProof w:val="0"/>
          <w:sz w:val="28"/>
          <w:szCs w:val="28"/>
          <w:rtl/>
        </w:rPr>
        <w:t>קרון כיבוד הערכאות יש להורות על סילוק התביעה על הסף.</w:t>
      </w:r>
    </w:p>
    <w:p w:rsidR="00EE23E0" w:rsidRPr="00000D2F" w:rsidRDefault="00EE23E0" w:rsidP="00000D2F">
      <w:pPr>
        <w:spacing w:line="360" w:lineRule="auto"/>
        <w:jc w:val="both"/>
        <w:rPr>
          <w:rFonts w:ascii="FrankRuehl" w:hAnsi="FrankRuehl" w:cs="FrankRuehl"/>
          <w:noProof w:val="0"/>
          <w:sz w:val="28"/>
          <w:szCs w:val="28"/>
          <w:rtl/>
        </w:rPr>
      </w:pPr>
    </w:p>
    <w:p w:rsidR="00EE23E0" w:rsidRPr="00000D2F" w:rsidRDefault="00EE23E0" w:rsidP="00000D2F">
      <w:pPr>
        <w:spacing w:line="360" w:lineRule="auto"/>
        <w:jc w:val="both"/>
        <w:rPr>
          <w:rFonts w:ascii="FrankRuehl" w:hAnsi="FrankRuehl" w:cs="FrankRuehl"/>
          <w:noProof w:val="0"/>
          <w:sz w:val="28"/>
          <w:szCs w:val="28"/>
          <w:rtl/>
        </w:rPr>
      </w:pPr>
      <w:r w:rsidRPr="00000D2F">
        <w:rPr>
          <w:rFonts w:ascii="FrankRuehl" w:hAnsi="FrankRuehl" w:cs="FrankRuehl"/>
          <w:noProof w:val="0"/>
          <w:sz w:val="28"/>
          <w:szCs w:val="28"/>
          <w:rtl/>
        </w:rPr>
        <w:t>בתגובת המשיבה לבקשה, אישרה המשיבה כי בין הצדדים התנהל "</w:t>
      </w:r>
      <w:r w:rsidRPr="00000D2F">
        <w:rPr>
          <w:rFonts w:ascii="FrankRuehl" w:hAnsi="FrankRuehl" w:cs="Miriam"/>
          <w:noProof w:val="0"/>
          <w:sz w:val="28"/>
          <w:rtl/>
        </w:rPr>
        <w:t>הליך גירושין קשה</w:t>
      </w:r>
      <w:r w:rsidRPr="00000D2F">
        <w:rPr>
          <w:rFonts w:ascii="FrankRuehl" w:hAnsi="FrankRuehl" w:cs="FrankRuehl"/>
          <w:noProof w:val="0"/>
          <w:sz w:val="28"/>
          <w:szCs w:val="28"/>
          <w:rtl/>
        </w:rPr>
        <w:t>". נטען כי ההסכם מושא התובענה בא לעולם בהמלצת ב"כ הצדדים שייצגו את הצדדים בהליכים שם, ובהמשך ההסכם תוקן בשל קשיים במימוש ההסכם. נטען כי מטרת התביעה "</w:t>
      </w:r>
      <w:r w:rsidRPr="00000D2F">
        <w:rPr>
          <w:rFonts w:ascii="FrankRuehl" w:hAnsi="FrankRuehl" w:cs="Miriam"/>
          <w:noProof w:val="0"/>
          <w:sz w:val="28"/>
          <w:rtl/>
        </w:rPr>
        <w:t>להורות על מתווה חוקי וישים בהתאם להסכמות הצדדים והסתמכות התובעת באשר לעתיד שתי הדירות, לאחר 120, וכן להורות על ביטול הסכם השיתוף במקרקעין ועריכת הסכם חדש תחתיו בהסכמה</w:t>
      </w:r>
      <w:r w:rsidRPr="00000D2F">
        <w:rPr>
          <w:rFonts w:ascii="FrankRuehl" w:hAnsi="FrankRuehl" w:cs="FrankRuehl"/>
          <w:noProof w:val="0"/>
          <w:sz w:val="28"/>
          <w:szCs w:val="28"/>
          <w:rtl/>
        </w:rPr>
        <w:t xml:space="preserve">". נטען כי טענת ההתיישנות נטענה בלשון רפה ואינה מפורטת דיה וההליך תחילתו בתביעה ליישוב סכסוך שהוגשה ביום 02.11.2022. נטען כי למשיבה נודע כי לא ניתן ליישם סעיף בלתי חוקי בהסכם </w:t>
      </w:r>
      <w:r w:rsidRPr="00000D2F">
        <w:rPr>
          <w:rFonts w:ascii="FrankRuehl" w:hAnsi="FrankRuehl" w:cs="FrankRuehl"/>
          <w:noProof w:val="0"/>
          <w:sz w:val="28"/>
          <w:szCs w:val="28"/>
          <w:rtl/>
        </w:rPr>
        <w:lastRenderedPageBreak/>
        <w:t xml:space="preserve">במועד המאוחר לאישור ההסכם. התובעת לא פירטה מהו המועד. עוד נטען כי מאחר וזו תובענה בעניין מקרקעין, תקופת ההתיישנות היא 15 שנה ותקופה זו טרם חלפה. נטען גם כי המשיב לא הסביר מדוע לא יישם את ההסכם. </w:t>
      </w:r>
      <w:r w:rsidR="00C47589" w:rsidRPr="00000D2F">
        <w:rPr>
          <w:rFonts w:ascii="FrankRuehl" w:hAnsi="FrankRuehl" w:cs="FrankRuehl"/>
          <w:noProof w:val="0"/>
          <w:sz w:val="28"/>
          <w:szCs w:val="28"/>
          <w:rtl/>
        </w:rPr>
        <w:t xml:space="preserve">עוד נטען כי למשיבה טענות קשות כנגד ב"כ הצדדים שייצגו בהליך בבית הדין הרבני, </w:t>
      </w:r>
      <w:r w:rsidR="00F320CC" w:rsidRPr="00000D2F">
        <w:rPr>
          <w:rFonts w:ascii="FrankRuehl" w:hAnsi="FrankRuehl" w:cs="FrankRuehl" w:hint="cs"/>
          <w:noProof w:val="0"/>
          <w:sz w:val="28"/>
          <w:szCs w:val="28"/>
          <w:rtl/>
        </w:rPr>
        <w:t>א</w:t>
      </w:r>
      <w:r w:rsidR="00C47589" w:rsidRPr="00000D2F">
        <w:rPr>
          <w:rFonts w:ascii="FrankRuehl" w:hAnsi="FrankRuehl" w:cs="FrankRuehl"/>
          <w:noProof w:val="0"/>
          <w:sz w:val="28"/>
          <w:szCs w:val="28"/>
          <w:rtl/>
        </w:rPr>
        <w:t>ש</w:t>
      </w:r>
      <w:r w:rsidR="00F320CC" w:rsidRPr="00000D2F">
        <w:rPr>
          <w:rFonts w:ascii="FrankRuehl" w:hAnsi="FrankRuehl" w:cs="FrankRuehl" w:hint="cs"/>
          <w:noProof w:val="0"/>
          <w:sz w:val="28"/>
          <w:szCs w:val="28"/>
          <w:rtl/>
        </w:rPr>
        <w:t xml:space="preserve">ר </w:t>
      </w:r>
      <w:r w:rsidR="00C47589" w:rsidRPr="00000D2F">
        <w:rPr>
          <w:rFonts w:ascii="FrankRuehl" w:hAnsi="FrankRuehl" w:cs="FrankRuehl"/>
          <w:noProof w:val="0"/>
          <w:sz w:val="28"/>
          <w:szCs w:val="28"/>
          <w:rtl/>
        </w:rPr>
        <w:t>גרמו לחתימה על הסכם שאינו ישים. נטען כי התובענה היא תובענה לתיקון הסכם. אשר לסמכות נטען כי בית הדין לא קנה סמכות לדון בתיקון הסכם ואין לו סמכות נמשכת מאחר ולא מדובר בסעדים או נושאים זהים. עוד נטען כי ההליך בבית הדין לא הסתיים בהכרעה שיפוטית אלא בהסכם ולכן בית הדין לא "</w:t>
      </w:r>
      <w:r w:rsidR="00C47589" w:rsidRPr="00000D2F">
        <w:rPr>
          <w:rFonts w:ascii="FrankRuehl" w:hAnsi="FrankRuehl" w:cs="Miriam"/>
          <w:noProof w:val="0"/>
          <w:sz w:val="28"/>
          <w:rtl/>
        </w:rPr>
        <w:t>דן ופסק</w:t>
      </w:r>
      <w:r w:rsidR="00C47589" w:rsidRPr="00000D2F">
        <w:rPr>
          <w:rFonts w:ascii="FrankRuehl" w:hAnsi="FrankRuehl" w:cs="FrankRuehl"/>
          <w:noProof w:val="0"/>
          <w:sz w:val="28"/>
          <w:szCs w:val="28"/>
          <w:rtl/>
        </w:rPr>
        <w:t>" וע</w:t>
      </w:r>
      <w:r w:rsidR="00F320CC" w:rsidRPr="00000D2F">
        <w:rPr>
          <w:rFonts w:ascii="FrankRuehl" w:hAnsi="FrankRuehl" w:cs="FrankRuehl" w:hint="cs"/>
          <w:noProof w:val="0"/>
          <w:sz w:val="28"/>
          <w:szCs w:val="28"/>
          <w:rtl/>
        </w:rPr>
        <w:t>ִ</w:t>
      </w:r>
      <w:r w:rsidR="00C47589" w:rsidRPr="00000D2F">
        <w:rPr>
          <w:rFonts w:ascii="FrankRuehl" w:hAnsi="FrankRuehl" w:cs="FrankRuehl"/>
          <w:noProof w:val="0"/>
          <w:sz w:val="28"/>
          <w:szCs w:val="28"/>
          <w:rtl/>
        </w:rPr>
        <w:t>קרון הסמכות הנמשכת לא חל. נטען כי המבקש לא הפנה לפסיקה לפיה הסמכות לפרש הסכם נתונה לערכאה שאישרה את ההסכם, ובכל מקרה אין מדובר בפרשנות אלא בקביעת "</w:t>
      </w:r>
      <w:r w:rsidR="00C47589" w:rsidRPr="00000D2F">
        <w:rPr>
          <w:rFonts w:ascii="FrankRuehl" w:hAnsi="FrankRuehl" w:cs="Miriam"/>
          <w:noProof w:val="0"/>
          <w:sz w:val="28"/>
          <w:rtl/>
        </w:rPr>
        <w:t>מתווה חוקי ויישום של הסכמות הצדדים</w:t>
      </w:r>
      <w:r w:rsidR="00C47589" w:rsidRPr="00000D2F">
        <w:rPr>
          <w:rFonts w:ascii="FrankRuehl" w:hAnsi="FrankRuehl" w:cs="FrankRuehl"/>
          <w:noProof w:val="0"/>
          <w:sz w:val="28"/>
          <w:szCs w:val="28"/>
          <w:rtl/>
        </w:rPr>
        <w:t>". נטען כי מאחר והצדדים ניהלו הליך יישוב סכסוך במסגרת יחידת הסיוע שליד בית המשפט לענייני משפחה, והתנהל הליך מהו"ת, הרי שהיה בכך להקנות סמכות לבית משפט זה.</w:t>
      </w:r>
    </w:p>
    <w:p w:rsidR="00C47589" w:rsidRPr="00000D2F" w:rsidRDefault="00C47589" w:rsidP="00000D2F">
      <w:pPr>
        <w:spacing w:line="360" w:lineRule="auto"/>
        <w:jc w:val="both"/>
        <w:rPr>
          <w:rFonts w:ascii="FrankRuehl" w:hAnsi="FrankRuehl" w:cs="FrankRuehl"/>
          <w:noProof w:val="0"/>
          <w:sz w:val="28"/>
          <w:szCs w:val="28"/>
          <w:rtl/>
        </w:rPr>
      </w:pPr>
    </w:p>
    <w:p w:rsidR="00C47589" w:rsidRPr="00000D2F" w:rsidRDefault="00C47589" w:rsidP="00000D2F">
      <w:pPr>
        <w:spacing w:line="360" w:lineRule="auto"/>
        <w:jc w:val="both"/>
        <w:rPr>
          <w:rFonts w:ascii="FrankRuehl" w:hAnsi="FrankRuehl" w:cs="FrankRuehl"/>
          <w:b/>
          <w:bCs/>
          <w:noProof w:val="0"/>
          <w:sz w:val="28"/>
          <w:szCs w:val="28"/>
          <w:rtl/>
        </w:rPr>
      </w:pPr>
      <w:r w:rsidRPr="00000D2F">
        <w:rPr>
          <w:rFonts w:ascii="FrankRuehl" w:hAnsi="FrankRuehl" w:cs="FrankRuehl"/>
          <w:b/>
          <w:bCs/>
          <w:noProof w:val="0"/>
          <w:sz w:val="28"/>
          <w:szCs w:val="28"/>
          <w:rtl/>
        </w:rPr>
        <w:t>לאחר שבחנתי את עמדות וטענות הצדדים ו</w:t>
      </w:r>
      <w:r w:rsidR="00E077FD" w:rsidRPr="00000D2F">
        <w:rPr>
          <w:rFonts w:ascii="FrankRuehl" w:hAnsi="FrankRuehl" w:cs="FrankRuehl"/>
          <w:b/>
          <w:bCs/>
          <w:noProof w:val="0"/>
          <w:sz w:val="28"/>
          <w:szCs w:val="28"/>
          <w:rtl/>
        </w:rPr>
        <w:t>שבתי ועיינתי בתביעה, מצאתי כי יש לקבל את הבקשה.</w:t>
      </w:r>
    </w:p>
    <w:p w:rsidR="0053521A" w:rsidRPr="00000D2F" w:rsidRDefault="0053521A" w:rsidP="00000D2F">
      <w:pPr>
        <w:spacing w:line="360" w:lineRule="auto"/>
        <w:jc w:val="both"/>
        <w:rPr>
          <w:rFonts w:ascii="FrankRuehl" w:hAnsi="FrankRuehl" w:cs="FrankRuehl"/>
          <w:noProof w:val="0"/>
          <w:sz w:val="28"/>
          <w:szCs w:val="28"/>
          <w:rtl/>
        </w:rPr>
      </w:pPr>
    </w:p>
    <w:p w:rsidR="00645B60" w:rsidRDefault="0053521A" w:rsidP="00000D2F">
      <w:pPr>
        <w:spacing w:line="360" w:lineRule="auto"/>
        <w:jc w:val="both"/>
        <w:rPr>
          <w:rFonts w:ascii="FrankRuehl" w:hAnsi="FrankRuehl" w:cs="FrankRuehl"/>
          <w:noProof w:val="0"/>
          <w:sz w:val="28"/>
          <w:szCs w:val="28"/>
          <w:rtl/>
        </w:rPr>
      </w:pPr>
      <w:r w:rsidRPr="00000D2F">
        <w:rPr>
          <w:rFonts w:ascii="FrankRuehl" w:hAnsi="FrankRuehl" w:cs="FrankRuehl"/>
          <w:noProof w:val="0"/>
          <w:sz w:val="28"/>
          <w:szCs w:val="28"/>
          <w:rtl/>
        </w:rPr>
        <w:t>בכתב התביעה עתרה המשיבה כי בית משפט יורה</w:t>
      </w:r>
      <w:r w:rsidR="00F838F9" w:rsidRPr="00000D2F">
        <w:rPr>
          <w:rFonts w:ascii="FrankRuehl" w:hAnsi="FrankRuehl" w:cs="FrankRuehl" w:hint="cs"/>
          <w:noProof w:val="0"/>
          <w:sz w:val="28"/>
          <w:szCs w:val="28"/>
          <w:rtl/>
        </w:rPr>
        <w:t xml:space="preserve"> על</w:t>
      </w:r>
      <w:r w:rsidRPr="00000D2F">
        <w:rPr>
          <w:rFonts w:ascii="FrankRuehl" w:hAnsi="FrankRuehl" w:cs="FrankRuehl"/>
          <w:noProof w:val="0"/>
          <w:sz w:val="28"/>
          <w:szCs w:val="28"/>
          <w:rtl/>
        </w:rPr>
        <w:t xml:space="preserve"> "</w:t>
      </w:r>
      <w:r w:rsidRPr="00000D2F">
        <w:rPr>
          <w:rFonts w:ascii="FrankRuehl" w:hAnsi="FrankRuehl" w:cs="Miriam"/>
          <w:noProof w:val="0"/>
          <w:sz w:val="28"/>
          <w:rtl/>
        </w:rPr>
        <w:t>מתווה חוקי וישים בהתאם להסכמות הצדדים והסתמכות התובעת באשר לעתיד שתי הדירות, לאחר 120, וכן להורות על ביטול הסכם השיתוף במקרקעין ועריכת הסכם חדש תחתיו</w:t>
      </w:r>
      <w:r w:rsidRPr="00000D2F">
        <w:rPr>
          <w:rFonts w:ascii="FrankRuehl" w:hAnsi="FrankRuehl" w:cs="FrankRuehl"/>
          <w:noProof w:val="0"/>
          <w:sz w:val="28"/>
          <w:szCs w:val="28"/>
          <w:rtl/>
        </w:rPr>
        <w:t>". נטען כי בין הצדדים נערך הסכם שאושר כהסכם ממון וניתן לו תוקף של פסק דין. ערב ההסכם החזיקו הצדדים בשתי דירות צמודות בבית דו-משפחתי והוסכם כי כל צד יקבל דירה אשר תועבר לילדיהם המשותפים לאחר 120. הוסכם בהסכם בסעיף 10 כי הצדדים יערכו צוואות ובהם יורישו לילדיהם את הנכסים הנ"ל. נטען כי "</w:t>
      </w:r>
      <w:r w:rsidRPr="00000D2F">
        <w:rPr>
          <w:rFonts w:ascii="FrankRuehl" w:hAnsi="FrankRuehl" w:cs="Miriam"/>
          <w:noProof w:val="0"/>
          <w:sz w:val="28"/>
          <w:rtl/>
        </w:rPr>
        <w:t>לימים, התברר כי הסעיף 10 לפסה"ד איננו חוקי ומשכך, לא ניתן ליישם את פסה"ד</w:t>
      </w:r>
      <w:r w:rsidRPr="00000D2F">
        <w:rPr>
          <w:rFonts w:ascii="FrankRuehl" w:hAnsi="FrankRuehl" w:cs="FrankRuehl"/>
          <w:noProof w:val="0"/>
          <w:sz w:val="28"/>
          <w:szCs w:val="28"/>
          <w:rtl/>
        </w:rPr>
        <w:t xml:space="preserve">" (טעויות במקור). נטען כי </w:t>
      </w:r>
      <w:r w:rsidR="00F838F9" w:rsidRPr="00000D2F">
        <w:rPr>
          <w:rFonts w:ascii="FrankRuehl" w:hAnsi="FrankRuehl" w:cs="FrankRuehl"/>
          <w:noProof w:val="0"/>
          <w:sz w:val="28"/>
          <w:szCs w:val="28"/>
          <w:rtl/>
        </w:rPr>
        <w:t>8 שנים לאחר ההסכם לא אירע דבר</w:t>
      </w:r>
      <w:r w:rsidRPr="00000D2F">
        <w:rPr>
          <w:rFonts w:ascii="FrankRuehl" w:hAnsi="FrankRuehl" w:cs="FrankRuehl"/>
          <w:noProof w:val="0"/>
          <w:sz w:val="28"/>
          <w:szCs w:val="28"/>
          <w:rtl/>
        </w:rPr>
        <w:t xml:space="preserve"> ולא נעשה שינוי ב</w:t>
      </w:r>
      <w:r w:rsidR="00E0189C" w:rsidRPr="00000D2F">
        <w:rPr>
          <w:rFonts w:ascii="FrankRuehl" w:hAnsi="FrankRuehl" w:cs="FrankRuehl"/>
          <w:noProof w:val="0"/>
          <w:sz w:val="28"/>
          <w:szCs w:val="28"/>
          <w:rtl/>
        </w:rPr>
        <w:t xml:space="preserve">זכויות. נטען כי כ-3 חודשים לפני הגשת התביעה, התברר למשיבה כי המבקש מתעתד למכור דירתו והמבקש אף העביר את הזכויות על פי ההסכם חרף כי תלוי ועומד היה צו איסור שינוי בזכויות. נטען כי העברת הזכויות נעשתה באמצעות שימוש בייפוי כוח בלתי חוזר על-ידי עורכי-דין אותם המשיבה לא פגשה. </w:t>
      </w:r>
    </w:p>
    <w:p w:rsidR="00645B60" w:rsidRDefault="00645B60" w:rsidP="00000D2F">
      <w:pPr>
        <w:spacing w:line="360" w:lineRule="auto"/>
        <w:jc w:val="both"/>
        <w:rPr>
          <w:rFonts w:ascii="FrankRuehl" w:hAnsi="FrankRuehl" w:cs="FrankRuehl"/>
          <w:noProof w:val="0"/>
          <w:sz w:val="28"/>
          <w:szCs w:val="28"/>
          <w:rtl/>
        </w:rPr>
      </w:pPr>
    </w:p>
    <w:p w:rsidR="0053521A" w:rsidRPr="00000D2F" w:rsidRDefault="00E0189C" w:rsidP="00000D2F">
      <w:pPr>
        <w:spacing w:line="360" w:lineRule="auto"/>
        <w:jc w:val="both"/>
        <w:rPr>
          <w:rFonts w:ascii="FrankRuehl" w:hAnsi="FrankRuehl" w:cs="FrankRuehl"/>
          <w:noProof w:val="0"/>
          <w:sz w:val="28"/>
          <w:szCs w:val="28"/>
          <w:rtl/>
        </w:rPr>
      </w:pPr>
      <w:r w:rsidRPr="00000D2F">
        <w:rPr>
          <w:rFonts w:ascii="FrankRuehl" w:hAnsi="FrankRuehl" w:cs="FrankRuehl"/>
          <w:noProof w:val="0"/>
          <w:sz w:val="28"/>
          <w:szCs w:val="28"/>
          <w:rtl/>
        </w:rPr>
        <w:t>נטען כי עורכות הדין שייצגו את הצדדים בבית הדין הרבני נתנו יד</w:t>
      </w:r>
      <w:r w:rsidR="00E077FD" w:rsidRPr="00000D2F">
        <w:rPr>
          <w:rFonts w:ascii="FrankRuehl" w:hAnsi="FrankRuehl" w:cs="FrankRuehl"/>
          <w:noProof w:val="0"/>
          <w:sz w:val="28"/>
          <w:szCs w:val="28"/>
          <w:rtl/>
        </w:rPr>
        <w:t>ן</w:t>
      </w:r>
      <w:r w:rsidRPr="00000D2F">
        <w:rPr>
          <w:rFonts w:ascii="FrankRuehl" w:hAnsi="FrankRuehl" w:cs="FrankRuehl"/>
          <w:noProof w:val="0"/>
          <w:sz w:val="28"/>
          <w:szCs w:val="28"/>
          <w:rtl/>
        </w:rPr>
        <w:t xml:space="preserve"> לתרמית, אם במעשה, אם במחדל ואם בשל חוסר ידיעה, </w:t>
      </w:r>
      <w:r w:rsidR="00E077FD" w:rsidRPr="00000D2F">
        <w:rPr>
          <w:rFonts w:ascii="FrankRuehl" w:hAnsi="FrankRuehl" w:cs="FrankRuehl"/>
          <w:noProof w:val="0"/>
          <w:sz w:val="28"/>
          <w:szCs w:val="28"/>
          <w:rtl/>
        </w:rPr>
        <w:t>ופעלו יחד עם הנתבע בחוסר יושר, ואילו המשיבה הסתמכה על ההסכם</w:t>
      </w:r>
      <w:r w:rsidR="004B582C" w:rsidRPr="00000D2F">
        <w:rPr>
          <w:rFonts w:ascii="FrankRuehl" w:hAnsi="FrankRuehl" w:cs="FrankRuehl"/>
          <w:noProof w:val="0"/>
          <w:sz w:val="28"/>
          <w:szCs w:val="28"/>
          <w:rtl/>
        </w:rPr>
        <w:t xml:space="preserve"> וסעיף 10 להסכם </w:t>
      </w:r>
      <w:r w:rsidR="004B582C" w:rsidRPr="00000D2F">
        <w:rPr>
          <w:rFonts w:ascii="FrankRuehl" w:hAnsi="FrankRuehl" w:cs="FrankRuehl"/>
          <w:noProof w:val="0"/>
          <w:sz w:val="28"/>
          <w:szCs w:val="28"/>
          <w:u w:val="single"/>
          <w:rtl/>
        </w:rPr>
        <w:t>הוא הסעיף העיקרי</w:t>
      </w:r>
      <w:r w:rsidR="004B582C" w:rsidRPr="00000D2F">
        <w:rPr>
          <w:rFonts w:ascii="FrankRuehl" w:hAnsi="FrankRuehl" w:cs="FrankRuehl"/>
          <w:noProof w:val="0"/>
          <w:sz w:val="28"/>
          <w:szCs w:val="28"/>
          <w:rtl/>
        </w:rPr>
        <w:t xml:space="preserve"> בהסכם (סעיף 92 לכתב התביעה). עוד נטען כי אילו הייתה יודעת המשיבה כי סעיף 10 נוגד הוראות חוק הירושה התשכ"ה-1965 "</w:t>
      </w:r>
      <w:r w:rsidR="004B582C" w:rsidRPr="00000D2F">
        <w:rPr>
          <w:rFonts w:ascii="FrankRuehl" w:hAnsi="FrankRuehl" w:cs="Miriam"/>
          <w:noProof w:val="0"/>
          <w:sz w:val="28"/>
          <w:rtl/>
        </w:rPr>
        <w:t>אזי לא היה נחתם הסכם הגירושין במתכונתו</w:t>
      </w:r>
      <w:r w:rsidR="004B582C" w:rsidRPr="00000D2F">
        <w:rPr>
          <w:rFonts w:ascii="FrankRuehl" w:hAnsi="FrankRuehl" w:cs="FrankRuehl"/>
          <w:noProof w:val="0"/>
          <w:sz w:val="28"/>
          <w:szCs w:val="28"/>
          <w:rtl/>
        </w:rPr>
        <w:t>".</w:t>
      </w:r>
    </w:p>
    <w:p w:rsidR="00D258C0" w:rsidRPr="00000D2F" w:rsidRDefault="004B582C" w:rsidP="00000D2F">
      <w:pPr>
        <w:spacing w:line="360" w:lineRule="auto"/>
        <w:jc w:val="both"/>
        <w:rPr>
          <w:rFonts w:ascii="FrankRuehl" w:hAnsi="FrankRuehl" w:cs="FrankRuehl"/>
          <w:noProof w:val="0"/>
          <w:sz w:val="28"/>
          <w:szCs w:val="28"/>
          <w:rtl/>
        </w:rPr>
      </w:pPr>
      <w:r w:rsidRPr="00000D2F">
        <w:rPr>
          <w:rFonts w:ascii="FrankRuehl" w:hAnsi="FrankRuehl" w:cs="FrankRuehl"/>
          <w:noProof w:val="0"/>
          <w:sz w:val="28"/>
          <w:szCs w:val="28"/>
          <w:rtl/>
        </w:rPr>
        <w:t xml:space="preserve">משמעות טענות המשיבה הן כי חתמה על הוראות ההסכם, ובפרט הוראת </w:t>
      </w:r>
      <w:r w:rsidR="00E077FD" w:rsidRPr="00000D2F">
        <w:rPr>
          <w:rFonts w:ascii="FrankRuehl" w:hAnsi="FrankRuehl" w:cs="FrankRuehl"/>
          <w:noProof w:val="0"/>
          <w:sz w:val="28"/>
          <w:szCs w:val="28"/>
          <w:rtl/>
        </w:rPr>
        <w:t xml:space="preserve">סעיף 10 להסכם, </w:t>
      </w:r>
      <w:r w:rsidRPr="00000D2F">
        <w:rPr>
          <w:rFonts w:ascii="FrankRuehl" w:hAnsi="FrankRuehl" w:cs="FrankRuehl"/>
          <w:noProof w:val="0"/>
          <w:sz w:val="28"/>
          <w:szCs w:val="28"/>
          <w:rtl/>
        </w:rPr>
        <w:t xml:space="preserve">מחמת </w:t>
      </w:r>
      <w:r w:rsidR="00E077FD" w:rsidRPr="00000D2F">
        <w:rPr>
          <w:rFonts w:ascii="FrankRuehl" w:hAnsi="FrankRuehl" w:cs="FrankRuehl"/>
          <w:noProof w:val="0"/>
          <w:sz w:val="28"/>
          <w:szCs w:val="28"/>
          <w:rtl/>
        </w:rPr>
        <w:t>טעות</w:t>
      </w:r>
      <w:r w:rsidR="00F838F9" w:rsidRPr="00000D2F">
        <w:rPr>
          <w:rFonts w:ascii="FrankRuehl" w:hAnsi="FrankRuehl" w:cs="FrankRuehl" w:hint="cs"/>
          <w:noProof w:val="0"/>
          <w:sz w:val="28"/>
          <w:szCs w:val="28"/>
          <w:rtl/>
        </w:rPr>
        <w:t>,</w:t>
      </w:r>
      <w:r w:rsidR="00E077FD" w:rsidRPr="00000D2F">
        <w:rPr>
          <w:rFonts w:ascii="FrankRuehl" w:hAnsi="FrankRuehl" w:cs="FrankRuehl"/>
          <w:noProof w:val="0"/>
          <w:sz w:val="28"/>
          <w:szCs w:val="28"/>
          <w:rtl/>
        </w:rPr>
        <w:t xml:space="preserve"> </w:t>
      </w:r>
      <w:r w:rsidRPr="00000D2F">
        <w:rPr>
          <w:rFonts w:ascii="FrankRuehl" w:hAnsi="FrankRuehl" w:cs="FrankRuehl"/>
          <w:noProof w:val="0"/>
          <w:sz w:val="28"/>
          <w:szCs w:val="28"/>
          <w:rtl/>
        </w:rPr>
        <w:t>ו</w:t>
      </w:r>
      <w:r w:rsidR="00F838F9" w:rsidRPr="00000D2F">
        <w:rPr>
          <w:rFonts w:ascii="FrankRuehl" w:hAnsi="FrankRuehl" w:cs="FrankRuehl"/>
          <w:noProof w:val="0"/>
          <w:sz w:val="28"/>
          <w:szCs w:val="28"/>
          <w:rtl/>
        </w:rPr>
        <w:t>אלמלא הטעות</w:t>
      </w:r>
      <w:r w:rsidRPr="00000D2F">
        <w:rPr>
          <w:rFonts w:ascii="FrankRuehl" w:hAnsi="FrankRuehl" w:cs="FrankRuehl"/>
          <w:noProof w:val="0"/>
          <w:sz w:val="28"/>
          <w:szCs w:val="28"/>
          <w:rtl/>
        </w:rPr>
        <w:t xml:space="preserve"> לא הייתה מתקשרת בהסכם כפי שנוסח.</w:t>
      </w:r>
      <w:r w:rsidR="00D258C0" w:rsidRPr="00000D2F">
        <w:rPr>
          <w:rFonts w:ascii="FrankRuehl" w:hAnsi="FrankRuehl" w:cs="FrankRuehl"/>
          <w:noProof w:val="0"/>
          <w:sz w:val="28"/>
          <w:szCs w:val="28"/>
          <w:rtl/>
        </w:rPr>
        <w:t xml:space="preserve"> עוד משמעות טענות התביעה הן כי לכאורה המבקש, ולמצער באת כוחו בבית הדין הרבני, ידעו על הטעות. טעות היא פגם ברצון המתקשר בחוזה. ראו לעניין זה הוראות סעיף 14 לחוק החוזים (חלק כללי) התשל"ג-1973. גם הטעייה כפי הוראת סעיף 15 לחוק החוזים (חלק כללי) התשל"ג-1973, ככל שלכך מכוונת המשיבה בטענותיהּ כי הדברים נעשו בכוונת מכוון, היא פגם ברצון.</w:t>
      </w:r>
      <w:r w:rsidR="00351A8F" w:rsidRPr="00000D2F">
        <w:rPr>
          <w:rFonts w:ascii="FrankRuehl" w:hAnsi="FrankRuehl" w:cs="FrankRuehl"/>
          <w:noProof w:val="0"/>
          <w:sz w:val="28"/>
          <w:szCs w:val="28"/>
          <w:rtl/>
        </w:rPr>
        <w:t xml:space="preserve"> כך גם לעניין סעיף 18 לחוק החוזים (חלק כללי) התשל"ג-1973, ככל שבין השורות נטענת על-ידי המשיבה ניצול אי-ידיעתהּ.</w:t>
      </w:r>
    </w:p>
    <w:p w:rsidR="00807A18" w:rsidRPr="00000D2F" w:rsidRDefault="00807A18" w:rsidP="00000D2F">
      <w:pPr>
        <w:spacing w:line="360" w:lineRule="auto"/>
        <w:jc w:val="both"/>
        <w:rPr>
          <w:rFonts w:ascii="FrankRuehl" w:hAnsi="FrankRuehl" w:cs="FrankRuehl"/>
          <w:noProof w:val="0"/>
          <w:sz w:val="28"/>
          <w:szCs w:val="28"/>
          <w:rtl/>
        </w:rPr>
      </w:pPr>
    </w:p>
    <w:p w:rsidR="00807A18" w:rsidRPr="00000D2F" w:rsidRDefault="00807A18" w:rsidP="00000D2F">
      <w:pPr>
        <w:spacing w:line="360" w:lineRule="auto"/>
        <w:jc w:val="both"/>
        <w:rPr>
          <w:rFonts w:ascii="FrankRuehl" w:hAnsi="FrankRuehl" w:cs="FrankRuehl"/>
          <w:noProof w:val="0"/>
          <w:sz w:val="28"/>
          <w:szCs w:val="28"/>
          <w:rtl/>
        </w:rPr>
      </w:pPr>
      <w:r w:rsidRPr="00000D2F">
        <w:rPr>
          <w:rFonts w:ascii="FrankRuehl" w:hAnsi="FrankRuehl" w:cs="FrankRuehl"/>
          <w:noProof w:val="0"/>
          <w:sz w:val="28"/>
          <w:szCs w:val="28"/>
          <w:rtl/>
        </w:rPr>
        <w:t>הסמכות לבטל או לשנות הסכם ממון שאושר וניתן לו תוקף של פס"ד, מסורה לערכאה שאישרה את ההסכם מלכתחילה ולה בלבד. ראו בהקשר</w:t>
      </w:r>
      <w:r w:rsidR="00506B0B" w:rsidRPr="00000D2F">
        <w:rPr>
          <w:rFonts w:ascii="FrankRuehl" w:hAnsi="FrankRuehl" w:cs="FrankRuehl"/>
          <w:noProof w:val="0"/>
          <w:sz w:val="28"/>
          <w:szCs w:val="28"/>
          <w:rtl/>
        </w:rPr>
        <w:t xml:space="preserve"> זה</w:t>
      </w:r>
      <w:r w:rsidRPr="00000D2F">
        <w:rPr>
          <w:rFonts w:ascii="FrankRuehl" w:hAnsi="FrankRuehl" w:cs="FrankRuehl"/>
          <w:noProof w:val="0"/>
          <w:sz w:val="28"/>
          <w:szCs w:val="28"/>
          <w:rtl/>
        </w:rPr>
        <w:t xml:space="preserve"> ע"א 394/88 </w:t>
      </w:r>
      <w:r w:rsidRPr="00000D2F">
        <w:rPr>
          <w:rFonts w:ascii="FrankRuehl" w:hAnsi="FrankRuehl" w:cs="FrankRuehl"/>
          <w:b/>
          <w:bCs/>
          <w:noProof w:val="0"/>
          <w:sz w:val="28"/>
          <w:szCs w:val="28"/>
          <w:rtl/>
        </w:rPr>
        <w:t>מאייר נ' מאייר, פד"י</w:t>
      </w:r>
      <w:r w:rsidRPr="00000D2F">
        <w:rPr>
          <w:rFonts w:ascii="FrankRuehl" w:hAnsi="FrankRuehl" w:cs="FrankRuehl"/>
          <w:noProof w:val="0"/>
          <w:sz w:val="28"/>
          <w:szCs w:val="28"/>
          <w:rtl/>
        </w:rPr>
        <w:t>, מד(2) 471, 475; בג"צ 6103/93 </w:t>
      </w:r>
      <w:r w:rsidRPr="00000D2F">
        <w:rPr>
          <w:rFonts w:ascii="FrankRuehl" w:hAnsi="FrankRuehl" w:cs="FrankRuehl"/>
          <w:b/>
          <w:bCs/>
          <w:noProof w:val="0"/>
          <w:sz w:val="28"/>
          <w:szCs w:val="28"/>
          <w:rtl/>
        </w:rPr>
        <w:t>סימה</w:t>
      </w:r>
      <w:r w:rsidRPr="00000D2F">
        <w:rPr>
          <w:rFonts w:ascii="FrankRuehl" w:hAnsi="FrankRuehl" w:cs="FrankRuehl"/>
          <w:b/>
          <w:bCs/>
          <w:noProof w:val="0"/>
          <w:sz w:val="28"/>
          <w:szCs w:val="28"/>
        </w:rPr>
        <w:t xml:space="preserve"> </w:t>
      </w:r>
      <w:r w:rsidRPr="00000D2F">
        <w:rPr>
          <w:rFonts w:ascii="FrankRuehl" w:hAnsi="FrankRuehl" w:cs="FrankRuehl"/>
          <w:b/>
          <w:bCs/>
          <w:noProof w:val="0"/>
          <w:sz w:val="28"/>
          <w:szCs w:val="28"/>
          <w:rtl/>
        </w:rPr>
        <w:t>לוי נ</w:t>
      </w:r>
      <w:r w:rsidRPr="00000D2F">
        <w:rPr>
          <w:rFonts w:ascii="FrankRuehl" w:hAnsi="FrankRuehl" w:cs="FrankRuehl"/>
          <w:b/>
          <w:bCs/>
          <w:noProof w:val="0"/>
          <w:sz w:val="28"/>
          <w:szCs w:val="28"/>
        </w:rPr>
        <w:t xml:space="preserve">' </w:t>
      </w:r>
      <w:r w:rsidRPr="00000D2F">
        <w:rPr>
          <w:rFonts w:ascii="FrankRuehl" w:hAnsi="FrankRuehl" w:cs="FrankRuehl"/>
          <w:b/>
          <w:bCs/>
          <w:noProof w:val="0"/>
          <w:sz w:val="28"/>
          <w:szCs w:val="28"/>
          <w:rtl/>
        </w:rPr>
        <w:t>בית</w:t>
      </w:r>
      <w:r w:rsidRPr="00000D2F">
        <w:rPr>
          <w:rFonts w:ascii="FrankRuehl" w:hAnsi="FrankRuehl" w:cs="FrankRuehl"/>
          <w:b/>
          <w:bCs/>
          <w:noProof w:val="0"/>
          <w:sz w:val="28"/>
          <w:szCs w:val="28"/>
        </w:rPr>
        <w:t xml:space="preserve"> </w:t>
      </w:r>
      <w:r w:rsidRPr="00000D2F">
        <w:rPr>
          <w:rFonts w:ascii="FrankRuehl" w:hAnsi="FrankRuehl" w:cs="FrankRuehl"/>
          <w:b/>
          <w:bCs/>
          <w:noProof w:val="0"/>
          <w:sz w:val="28"/>
          <w:szCs w:val="28"/>
          <w:rtl/>
        </w:rPr>
        <w:t>הדין</w:t>
      </w:r>
      <w:r w:rsidRPr="00000D2F">
        <w:rPr>
          <w:rFonts w:ascii="FrankRuehl" w:hAnsi="FrankRuehl" w:cs="FrankRuehl"/>
          <w:b/>
          <w:bCs/>
          <w:noProof w:val="0"/>
          <w:sz w:val="28"/>
          <w:szCs w:val="28"/>
        </w:rPr>
        <w:t xml:space="preserve"> </w:t>
      </w:r>
      <w:r w:rsidRPr="00000D2F">
        <w:rPr>
          <w:rFonts w:ascii="FrankRuehl" w:hAnsi="FrankRuehl" w:cs="FrankRuehl"/>
          <w:b/>
          <w:bCs/>
          <w:noProof w:val="0"/>
          <w:sz w:val="28"/>
          <w:szCs w:val="28"/>
          <w:rtl/>
        </w:rPr>
        <w:t>הרבני</w:t>
      </w:r>
      <w:r w:rsidRPr="00000D2F">
        <w:rPr>
          <w:rFonts w:ascii="FrankRuehl" w:hAnsi="FrankRuehl" w:cs="FrankRuehl"/>
          <w:b/>
          <w:bCs/>
          <w:noProof w:val="0"/>
          <w:sz w:val="28"/>
          <w:szCs w:val="28"/>
        </w:rPr>
        <w:t xml:space="preserve"> </w:t>
      </w:r>
      <w:r w:rsidRPr="00000D2F">
        <w:rPr>
          <w:rFonts w:ascii="FrankRuehl" w:hAnsi="FrankRuehl" w:cs="FrankRuehl"/>
          <w:b/>
          <w:bCs/>
          <w:noProof w:val="0"/>
          <w:sz w:val="28"/>
          <w:szCs w:val="28"/>
          <w:rtl/>
        </w:rPr>
        <w:t>הגדול</w:t>
      </w:r>
      <w:r w:rsidRPr="00000D2F">
        <w:rPr>
          <w:rFonts w:ascii="FrankRuehl" w:hAnsi="FrankRuehl" w:cs="FrankRuehl"/>
          <w:noProof w:val="0"/>
          <w:sz w:val="28"/>
          <w:szCs w:val="28"/>
        </w:rPr>
        <w:t xml:space="preserve">, </w:t>
      </w:r>
      <w:r w:rsidRPr="00000D2F">
        <w:rPr>
          <w:rFonts w:ascii="FrankRuehl" w:hAnsi="FrankRuehl" w:cs="FrankRuehl"/>
          <w:noProof w:val="0"/>
          <w:sz w:val="28"/>
          <w:szCs w:val="28"/>
          <w:rtl/>
        </w:rPr>
        <w:t>פד"י מח(4) 591, 605; בג"צ  4111/07 ‏</w:t>
      </w:r>
      <w:r w:rsidRPr="00000D2F">
        <w:rPr>
          <w:rFonts w:ascii="FrankRuehl" w:hAnsi="FrankRuehl" w:cs="FrankRuehl"/>
          <w:b/>
          <w:bCs/>
          <w:noProof w:val="0"/>
          <w:sz w:val="28"/>
          <w:szCs w:val="28"/>
          <w:rtl/>
        </w:rPr>
        <w:t>פלונית נ' פלוני</w:t>
      </w:r>
      <w:r w:rsidR="00F838F9" w:rsidRPr="00000D2F">
        <w:rPr>
          <w:rFonts w:ascii="FrankRuehl" w:hAnsi="FrankRuehl" w:cs="FrankRuehl"/>
          <w:noProof w:val="0"/>
          <w:sz w:val="28"/>
          <w:szCs w:val="28"/>
          <w:rtl/>
        </w:rPr>
        <w:t>, פסקה 10 לפס</w:t>
      </w:r>
      <w:r w:rsidR="00F838F9" w:rsidRPr="00000D2F">
        <w:rPr>
          <w:rFonts w:ascii="FrankRuehl" w:hAnsi="FrankRuehl" w:cs="FrankRuehl" w:hint="cs"/>
          <w:noProof w:val="0"/>
          <w:sz w:val="28"/>
          <w:szCs w:val="28"/>
          <w:rtl/>
        </w:rPr>
        <w:t>ק הדין</w:t>
      </w:r>
      <w:r w:rsidRPr="00000D2F">
        <w:rPr>
          <w:rFonts w:ascii="FrankRuehl" w:hAnsi="FrankRuehl" w:cs="FrankRuehl"/>
          <w:noProof w:val="0"/>
          <w:sz w:val="28"/>
          <w:szCs w:val="28"/>
          <w:rtl/>
        </w:rPr>
        <w:t xml:space="preserve"> מיום 27.07.2008.</w:t>
      </w:r>
    </w:p>
    <w:p w:rsidR="00807A18" w:rsidRPr="00000D2F" w:rsidRDefault="00807A18" w:rsidP="00000D2F">
      <w:pPr>
        <w:spacing w:line="360" w:lineRule="auto"/>
        <w:jc w:val="both"/>
        <w:rPr>
          <w:rFonts w:ascii="FrankRuehl" w:hAnsi="FrankRuehl" w:cs="FrankRuehl"/>
          <w:noProof w:val="0"/>
          <w:sz w:val="28"/>
          <w:szCs w:val="28"/>
          <w:rtl/>
        </w:rPr>
      </w:pPr>
    </w:p>
    <w:p w:rsidR="001B3D6B" w:rsidRPr="00000D2F" w:rsidRDefault="00506B0B" w:rsidP="00645B60">
      <w:pPr>
        <w:spacing w:line="360" w:lineRule="auto"/>
        <w:jc w:val="both"/>
        <w:rPr>
          <w:rFonts w:ascii="FrankRuehl" w:hAnsi="FrankRuehl" w:cs="FrankRuehl"/>
          <w:sz w:val="28"/>
          <w:szCs w:val="28"/>
          <w:rtl/>
        </w:rPr>
      </w:pPr>
      <w:r w:rsidRPr="00000D2F">
        <w:rPr>
          <w:rFonts w:ascii="FrankRuehl" w:hAnsi="FrankRuehl" w:cs="FrankRuehl"/>
          <w:noProof w:val="0"/>
          <w:sz w:val="28"/>
          <w:szCs w:val="28"/>
          <w:rtl/>
        </w:rPr>
        <w:t xml:space="preserve">הפסיקה שלעיל חלה מקום בו מדובר בפגמים שהם פגמים ברצון, ואילו </w:t>
      </w:r>
      <w:r w:rsidR="00807A18" w:rsidRPr="00000D2F">
        <w:rPr>
          <w:rFonts w:ascii="FrankRuehl" w:hAnsi="FrankRuehl" w:cs="FrankRuehl"/>
          <w:noProof w:val="0"/>
          <w:sz w:val="28"/>
          <w:szCs w:val="28"/>
          <w:rtl/>
        </w:rPr>
        <w:t xml:space="preserve">כאשר מדובר בעילת ביטול שמקימה עילת תביעה חדשה, ושהן עילות </w:t>
      </w:r>
      <w:r w:rsidRPr="00000D2F">
        <w:rPr>
          <w:rFonts w:ascii="FrankRuehl" w:hAnsi="FrankRuehl" w:cs="FrankRuehl"/>
          <w:noProof w:val="0"/>
          <w:sz w:val="28"/>
          <w:szCs w:val="28"/>
          <w:rtl/>
        </w:rPr>
        <w:t xml:space="preserve">לבר הסכמיות, מחוץ להסכם הממון, לא קונה בית הדין הרבני סמכות נמשכת וניתן להגיש את התביעה לבית המשפט לענייני משפחה. ראו בהקשר זה </w:t>
      </w:r>
      <w:r w:rsidRPr="00000D2F">
        <w:rPr>
          <w:rFonts w:ascii="FrankRuehl" w:hAnsi="FrankRuehl" w:cs="FrankRuehl"/>
          <w:sz w:val="28"/>
          <w:szCs w:val="28"/>
          <w:rtl/>
        </w:rPr>
        <w:t>בג"צ 6103/93 </w:t>
      </w:r>
      <w:r w:rsidRPr="00000D2F">
        <w:rPr>
          <w:rFonts w:ascii="FrankRuehl" w:hAnsi="FrankRuehl" w:cs="FrankRuehl"/>
          <w:b/>
          <w:bCs/>
          <w:sz w:val="28"/>
          <w:szCs w:val="28"/>
          <w:rtl/>
        </w:rPr>
        <w:t>סימה</w:t>
      </w:r>
      <w:r w:rsidRPr="00000D2F">
        <w:rPr>
          <w:rFonts w:ascii="FrankRuehl" w:hAnsi="FrankRuehl" w:cs="FrankRuehl"/>
          <w:b/>
          <w:bCs/>
          <w:sz w:val="28"/>
          <w:szCs w:val="28"/>
        </w:rPr>
        <w:t xml:space="preserve"> </w:t>
      </w:r>
      <w:r w:rsidRPr="00000D2F">
        <w:rPr>
          <w:rFonts w:ascii="FrankRuehl" w:hAnsi="FrankRuehl" w:cs="FrankRuehl"/>
          <w:b/>
          <w:bCs/>
          <w:sz w:val="28"/>
          <w:szCs w:val="28"/>
          <w:rtl/>
        </w:rPr>
        <w:t>לוי נ</w:t>
      </w:r>
      <w:r w:rsidRPr="00000D2F">
        <w:rPr>
          <w:rFonts w:ascii="FrankRuehl" w:hAnsi="FrankRuehl" w:cs="FrankRuehl"/>
          <w:b/>
          <w:bCs/>
          <w:sz w:val="28"/>
          <w:szCs w:val="28"/>
        </w:rPr>
        <w:t xml:space="preserve">' </w:t>
      </w:r>
      <w:r w:rsidRPr="00000D2F">
        <w:rPr>
          <w:rFonts w:ascii="FrankRuehl" w:hAnsi="FrankRuehl" w:cs="FrankRuehl"/>
          <w:b/>
          <w:bCs/>
          <w:sz w:val="28"/>
          <w:szCs w:val="28"/>
          <w:rtl/>
        </w:rPr>
        <w:t>בית</w:t>
      </w:r>
      <w:r w:rsidRPr="00000D2F">
        <w:rPr>
          <w:rFonts w:ascii="FrankRuehl" w:hAnsi="FrankRuehl" w:cs="FrankRuehl"/>
          <w:b/>
          <w:bCs/>
          <w:sz w:val="28"/>
          <w:szCs w:val="28"/>
        </w:rPr>
        <w:t xml:space="preserve"> </w:t>
      </w:r>
      <w:r w:rsidRPr="00000D2F">
        <w:rPr>
          <w:rFonts w:ascii="FrankRuehl" w:hAnsi="FrankRuehl" w:cs="FrankRuehl"/>
          <w:b/>
          <w:bCs/>
          <w:sz w:val="28"/>
          <w:szCs w:val="28"/>
          <w:rtl/>
        </w:rPr>
        <w:t>הדין</w:t>
      </w:r>
      <w:r w:rsidRPr="00000D2F">
        <w:rPr>
          <w:rFonts w:ascii="FrankRuehl" w:hAnsi="FrankRuehl" w:cs="FrankRuehl"/>
          <w:b/>
          <w:bCs/>
          <w:sz w:val="28"/>
          <w:szCs w:val="28"/>
        </w:rPr>
        <w:t xml:space="preserve"> </w:t>
      </w:r>
      <w:r w:rsidRPr="00000D2F">
        <w:rPr>
          <w:rFonts w:ascii="FrankRuehl" w:hAnsi="FrankRuehl" w:cs="FrankRuehl"/>
          <w:b/>
          <w:bCs/>
          <w:sz w:val="28"/>
          <w:szCs w:val="28"/>
          <w:rtl/>
        </w:rPr>
        <w:t>הרבני</w:t>
      </w:r>
      <w:r w:rsidRPr="00000D2F">
        <w:rPr>
          <w:rFonts w:ascii="FrankRuehl" w:hAnsi="FrankRuehl" w:cs="FrankRuehl"/>
          <w:b/>
          <w:bCs/>
          <w:sz w:val="28"/>
          <w:szCs w:val="28"/>
        </w:rPr>
        <w:t xml:space="preserve"> </w:t>
      </w:r>
      <w:r w:rsidRPr="00000D2F">
        <w:rPr>
          <w:rFonts w:ascii="FrankRuehl" w:hAnsi="FrankRuehl" w:cs="FrankRuehl"/>
          <w:b/>
          <w:bCs/>
          <w:sz w:val="28"/>
          <w:szCs w:val="28"/>
          <w:rtl/>
        </w:rPr>
        <w:t>הגדול</w:t>
      </w:r>
      <w:r w:rsidRPr="00000D2F">
        <w:rPr>
          <w:rFonts w:ascii="FrankRuehl" w:hAnsi="FrankRuehl" w:cs="FrankRuehl"/>
          <w:sz w:val="28"/>
          <w:szCs w:val="28"/>
          <w:rtl/>
        </w:rPr>
        <w:t>, פד"י מח(4) 591, 605; בג"צ 8638/03 </w:t>
      </w:r>
      <w:r w:rsidRPr="00000D2F">
        <w:rPr>
          <w:rFonts w:ascii="FrankRuehl" w:hAnsi="FrankRuehl" w:cs="FrankRuehl"/>
          <w:b/>
          <w:bCs/>
          <w:sz w:val="28"/>
          <w:szCs w:val="28"/>
          <w:rtl/>
        </w:rPr>
        <w:t>סימה</w:t>
      </w:r>
      <w:r w:rsidRPr="00000D2F">
        <w:rPr>
          <w:rFonts w:ascii="FrankRuehl" w:hAnsi="FrankRuehl" w:cs="FrankRuehl"/>
          <w:b/>
          <w:bCs/>
          <w:sz w:val="28"/>
          <w:szCs w:val="28"/>
        </w:rPr>
        <w:t xml:space="preserve"> </w:t>
      </w:r>
      <w:r w:rsidRPr="00000D2F">
        <w:rPr>
          <w:rFonts w:ascii="FrankRuehl" w:hAnsi="FrankRuehl" w:cs="FrankRuehl"/>
          <w:b/>
          <w:bCs/>
          <w:sz w:val="28"/>
          <w:szCs w:val="28"/>
          <w:rtl/>
        </w:rPr>
        <w:t>אמיר</w:t>
      </w:r>
      <w:r w:rsidRPr="00000D2F">
        <w:rPr>
          <w:rFonts w:ascii="FrankRuehl" w:hAnsi="FrankRuehl" w:cs="FrankRuehl"/>
          <w:b/>
          <w:bCs/>
          <w:sz w:val="28"/>
          <w:szCs w:val="28"/>
        </w:rPr>
        <w:t xml:space="preserve"> </w:t>
      </w:r>
      <w:r w:rsidRPr="00000D2F">
        <w:rPr>
          <w:rFonts w:ascii="FrankRuehl" w:hAnsi="FrankRuehl" w:cs="FrankRuehl"/>
          <w:b/>
          <w:bCs/>
          <w:sz w:val="28"/>
          <w:szCs w:val="28"/>
          <w:rtl/>
        </w:rPr>
        <w:t>נ</w:t>
      </w:r>
      <w:r w:rsidRPr="00000D2F">
        <w:rPr>
          <w:rFonts w:ascii="FrankRuehl" w:hAnsi="FrankRuehl" w:cs="FrankRuehl"/>
          <w:b/>
          <w:bCs/>
          <w:sz w:val="28"/>
          <w:szCs w:val="28"/>
        </w:rPr>
        <w:t xml:space="preserve">' </w:t>
      </w:r>
      <w:r w:rsidRPr="00000D2F">
        <w:rPr>
          <w:rFonts w:ascii="FrankRuehl" w:hAnsi="FrankRuehl" w:cs="FrankRuehl"/>
          <w:b/>
          <w:bCs/>
          <w:sz w:val="28"/>
          <w:szCs w:val="28"/>
          <w:rtl/>
        </w:rPr>
        <w:t>בית</w:t>
      </w:r>
      <w:r w:rsidRPr="00000D2F">
        <w:rPr>
          <w:rFonts w:ascii="FrankRuehl" w:hAnsi="FrankRuehl" w:cs="FrankRuehl"/>
          <w:b/>
          <w:bCs/>
          <w:sz w:val="28"/>
          <w:szCs w:val="28"/>
        </w:rPr>
        <w:t xml:space="preserve"> </w:t>
      </w:r>
      <w:r w:rsidRPr="00000D2F">
        <w:rPr>
          <w:rFonts w:ascii="FrankRuehl" w:hAnsi="FrankRuehl" w:cs="FrankRuehl"/>
          <w:b/>
          <w:bCs/>
          <w:sz w:val="28"/>
          <w:szCs w:val="28"/>
          <w:rtl/>
        </w:rPr>
        <w:t>הדין</w:t>
      </w:r>
      <w:r w:rsidRPr="00000D2F">
        <w:rPr>
          <w:rFonts w:ascii="FrankRuehl" w:hAnsi="FrankRuehl" w:cs="FrankRuehl"/>
          <w:b/>
          <w:bCs/>
          <w:sz w:val="28"/>
          <w:szCs w:val="28"/>
        </w:rPr>
        <w:t xml:space="preserve"> </w:t>
      </w:r>
      <w:r w:rsidRPr="00000D2F">
        <w:rPr>
          <w:rFonts w:ascii="FrankRuehl" w:hAnsi="FrankRuehl" w:cs="FrankRuehl"/>
          <w:b/>
          <w:bCs/>
          <w:sz w:val="28"/>
          <w:szCs w:val="28"/>
          <w:rtl/>
        </w:rPr>
        <w:t>הרבני</w:t>
      </w:r>
      <w:r w:rsidRPr="00000D2F">
        <w:rPr>
          <w:rFonts w:ascii="FrankRuehl" w:hAnsi="FrankRuehl" w:cs="FrankRuehl"/>
          <w:b/>
          <w:bCs/>
          <w:sz w:val="28"/>
          <w:szCs w:val="28"/>
        </w:rPr>
        <w:t xml:space="preserve"> </w:t>
      </w:r>
      <w:r w:rsidRPr="00000D2F">
        <w:rPr>
          <w:rFonts w:ascii="FrankRuehl" w:hAnsi="FrankRuehl" w:cs="FrankRuehl"/>
          <w:b/>
          <w:bCs/>
          <w:sz w:val="28"/>
          <w:szCs w:val="28"/>
          <w:rtl/>
        </w:rPr>
        <w:t>הגדול</w:t>
      </w:r>
      <w:r w:rsidRPr="00000D2F">
        <w:rPr>
          <w:rFonts w:ascii="FrankRuehl" w:hAnsi="FrankRuehl" w:cs="FrankRuehl"/>
          <w:b/>
          <w:bCs/>
          <w:sz w:val="28"/>
          <w:szCs w:val="28"/>
        </w:rPr>
        <w:t xml:space="preserve"> </w:t>
      </w:r>
      <w:r w:rsidRPr="00000D2F">
        <w:rPr>
          <w:rFonts w:ascii="FrankRuehl" w:hAnsi="FrankRuehl" w:cs="FrankRuehl"/>
          <w:sz w:val="28"/>
          <w:szCs w:val="28"/>
          <w:rtl/>
        </w:rPr>
        <w:t xml:space="preserve">פד"י ס"א (1)  259. </w:t>
      </w:r>
      <w:r w:rsidR="00645B60">
        <w:rPr>
          <w:rFonts w:ascii="FrankRuehl" w:hAnsi="FrankRuehl" w:cs="FrankRuehl" w:hint="cs"/>
          <w:sz w:val="28"/>
          <w:szCs w:val="28"/>
          <w:rtl/>
        </w:rPr>
        <w:t xml:space="preserve"> </w:t>
      </w:r>
      <w:r w:rsidRPr="00000D2F">
        <w:rPr>
          <w:rFonts w:ascii="FrankRuehl" w:hAnsi="FrankRuehl" w:cs="FrankRuehl"/>
          <w:sz w:val="28"/>
          <w:szCs w:val="28"/>
          <w:rtl/>
        </w:rPr>
        <w:t>נפסק כי "יש לבחון את הסעד ואת אופיו הדומיננטי במשקפיים מהותיות"</w:t>
      </w:r>
      <w:r w:rsidR="00F838F9" w:rsidRPr="00000D2F">
        <w:rPr>
          <w:rFonts w:ascii="FrankRuehl" w:hAnsi="FrankRuehl" w:cs="FrankRuehl" w:hint="cs"/>
          <w:sz w:val="28"/>
          <w:szCs w:val="28"/>
          <w:rtl/>
        </w:rPr>
        <w:t xml:space="preserve">. </w:t>
      </w:r>
      <w:r w:rsidR="00F838F9" w:rsidRPr="00000D2F">
        <w:rPr>
          <w:rFonts w:ascii="FrankRuehl" w:hAnsi="FrankRuehl" w:cs="FrankRuehl"/>
          <w:sz w:val="28"/>
          <w:szCs w:val="28"/>
          <w:rtl/>
        </w:rPr>
        <w:t>ר</w:t>
      </w:r>
      <w:r w:rsidR="00F838F9" w:rsidRPr="00000D2F">
        <w:rPr>
          <w:rFonts w:ascii="FrankRuehl" w:hAnsi="FrankRuehl" w:cs="FrankRuehl" w:hint="cs"/>
          <w:sz w:val="28"/>
          <w:szCs w:val="28"/>
          <w:rtl/>
        </w:rPr>
        <w:t xml:space="preserve">או </w:t>
      </w:r>
      <w:r w:rsidRPr="00000D2F">
        <w:rPr>
          <w:rFonts w:ascii="FrankRuehl" w:hAnsi="FrankRuehl" w:cs="FrankRuehl"/>
          <w:sz w:val="28"/>
          <w:szCs w:val="28"/>
          <w:rtl/>
        </w:rPr>
        <w:t xml:space="preserve">בג"צ 8578/01 </w:t>
      </w:r>
      <w:r w:rsidRPr="00000D2F">
        <w:rPr>
          <w:rFonts w:ascii="FrankRuehl" w:hAnsi="FrankRuehl" w:cs="FrankRuehl"/>
          <w:b/>
          <w:bCs/>
          <w:sz w:val="28"/>
          <w:szCs w:val="28"/>
          <w:rtl/>
        </w:rPr>
        <w:t>חיים חליווה נ' עליזה חליווה ואח'</w:t>
      </w:r>
      <w:r w:rsidRPr="00000D2F">
        <w:rPr>
          <w:rFonts w:ascii="FrankRuehl" w:hAnsi="FrankRuehl" w:cs="FrankRuehl"/>
          <w:sz w:val="28"/>
          <w:szCs w:val="28"/>
          <w:rtl/>
        </w:rPr>
        <w:t>, פד"י נ"ו (5) 634.</w:t>
      </w:r>
    </w:p>
    <w:p w:rsidR="00000D2F" w:rsidRDefault="00000D2F" w:rsidP="00000D2F">
      <w:pPr>
        <w:spacing w:line="360" w:lineRule="auto"/>
        <w:jc w:val="both"/>
        <w:rPr>
          <w:rFonts w:ascii="FrankRuehl" w:hAnsi="FrankRuehl" w:cs="FrankRuehl"/>
          <w:sz w:val="28"/>
          <w:szCs w:val="28"/>
          <w:rtl/>
        </w:rPr>
      </w:pPr>
    </w:p>
    <w:p w:rsidR="00000D2F" w:rsidRDefault="00000D2F" w:rsidP="00000D2F">
      <w:pPr>
        <w:spacing w:line="360" w:lineRule="auto"/>
        <w:jc w:val="both"/>
        <w:rPr>
          <w:rFonts w:ascii="FrankRuehl" w:hAnsi="FrankRuehl" w:cs="FrankRuehl"/>
          <w:b/>
          <w:bCs/>
          <w:noProof w:val="0"/>
          <w:sz w:val="28"/>
          <w:szCs w:val="28"/>
          <w:rtl/>
        </w:rPr>
      </w:pPr>
      <w:r w:rsidRPr="00000D2F">
        <w:rPr>
          <w:rFonts w:ascii="FrankRuehl" w:hAnsi="FrankRuehl" w:cs="FrankRuehl"/>
          <w:sz w:val="28"/>
          <w:szCs w:val="28"/>
          <w:rtl/>
        </w:rPr>
        <w:t>כאמור לעיל, המשיבה טוענת בתביעתהּ לטעות, הטעייה או עושק. טענות</w:t>
      </w:r>
      <w:r w:rsidR="002B578A">
        <w:rPr>
          <w:rFonts w:ascii="FrankRuehl" w:hAnsi="FrankRuehl" w:cs="FrankRuehl" w:hint="cs"/>
          <w:sz w:val="28"/>
          <w:szCs w:val="28"/>
          <w:rtl/>
        </w:rPr>
        <w:t>יה</w:t>
      </w:r>
      <w:r w:rsidRPr="00000D2F">
        <w:rPr>
          <w:rFonts w:ascii="FrankRuehl" w:hAnsi="FrankRuehl" w:cs="FrankRuehl"/>
          <w:sz w:val="28"/>
          <w:szCs w:val="28"/>
          <w:rtl/>
        </w:rPr>
        <w:t xml:space="preserve"> אלו הן </w:t>
      </w:r>
      <w:r w:rsidR="002B578A">
        <w:rPr>
          <w:rFonts w:ascii="FrankRuehl" w:hAnsi="FrankRuehl" w:cs="FrankRuehl" w:hint="cs"/>
          <w:sz w:val="28"/>
          <w:szCs w:val="28"/>
          <w:rtl/>
        </w:rPr>
        <w:t xml:space="preserve">טענות בדר קיומם של </w:t>
      </w:r>
      <w:r w:rsidRPr="00000D2F">
        <w:rPr>
          <w:rFonts w:ascii="FrankRuehl" w:hAnsi="FrankRuehl" w:cs="FrankRuehl"/>
          <w:sz w:val="28"/>
          <w:szCs w:val="28"/>
          <w:rtl/>
        </w:rPr>
        <w:t xml:space="preserve">פגמים ברצון ואינן טענות המקימות עילת תביעה חדשה. אלו טענות </w:t>
      </w:r>
      <w:r w:rsidR="002B578A">
        <w:rPr>
          <w:rFonts w:ascii="FrankRuehl" w:hAnsi="FrankRuehl" w:cs="FrankRuehl" w:hint="cs"/>
          <w:sz w:val="28"/>
          <w:szCs w:val="28"/>
          <w:rtl/>
        </w:rPr>
        <w:t>"</w:t>
      </w:r>
      <w:r w:rsidRPr="00000D2F">
        <w:rPr>
          <w:rFonts w:ascii="FrankRuehl" w:hAnsi="FrankRuehl" w:cs="FrankRuehl"/>
          <w:sz w:val="28"/>
          <w:szCs w:val="28"/>
          <w:rtl/>
        </w:rPr>
        <w:t>מתוך הסכם הממון</w:t>
      </w:r>
      <w:r w:rsidR="002B578A">
        <w:rPr>
          <w:rFonts w:ascii="FrankRuehl" w:hAnsi="FrankRuehl" w:cs="FrankRuehl" w:hint="cs"/>
          <w:sz w:val="28"/>
          <w:szCs w:val="28"/>
          <w:rtl/>
        </w:rPr>
        <w:t>" , ולא "מחוץ להסכם הממון"</w:t>
      </w:r>
      <w:r w:rsidRPr="00000D2F">
        <w:rPr>
          <w:rFonts w:ascii="FrankRuehl" w:hAnsi="FrankRuehl" w:cs="FrankRuehl"/>
          <w:sz w:val="28"/>
          <w:szCs w:val="28"/>
          <w:rtl/>
        </w:rPr>
        <w:t xml:space="preserve">. </w:t>
      </w:r>
      <w:r w:rsidRPr="002B578A">
        <w:rPr>
          <w:rFonts w:ascii="FrankRuehl" w:hAnsi="FrankRuehl" w:cs="FrankRuehl"/>
          <w:b/>
          <w:bCs/>
          <w:sz w:val="28"/>
          <w:szCs w:val="28"/>
          <w:rtl/>
        </w:rPr>
        <w:t xml:space="preserve">על כן, הסמכות לדון בטענות המשיבה היא לבית הדין הרבני אשר אישר את ההסכם כהסכם </w:t>
      </w:r>
      <w:r w:rsidRPr="002B578A">
        <w:rPr>
          <w:rFonts w:ascii="FrankRuehl" w:hAnsi="FrankRuehl" w:cs="FrankRuehl"/>
          <w:b/>
          <w:bCs/>
          <w:noProof w:val="0"/>
          <w:sz w:val="28"/>
          <w:szCs w:val="28"/>
          <w:rtl/>
        </w:rPr>
        <w:t>ממון ונתן לו תוקף של פסק דין.</w:t>
      </w:r>
    </w:p>
    <w:p w:rsidR="00645B60" w:rsidRPr="002B578A" w:rsidRDefault="00645B60" w:rsidP="00000D2F">
      <w:pPr>
        <w:spacing w:line="360" w:lineRule="auto"/>
        <w:jc w:val="both"/>
        <w:rPr>
          <w:rFonts w:ascii="FrankRuehl" w:hAnsi="FrankRuehl" w:cs="FrankRuehl"/>
          <w:b/>
          <w:bCs/>
          <w:noProof w:val="0"/>
          <w:sz w:val="28"/>
          <w:szCs w:val="28"/>
          <w:rtl/>
        </w:rPr>
      </w:pPr>
    </w:p>
    <w:p w:rsidR="00AC2F1D" w:rsidRDefault="002B578A" w:rsidP="00645B60">
      <w:pPr>
        <w:spacing w:line="360" w:lineRule="auto"/>
        <w:jc w:val="both"/>
        <w:rPr>
          <w:rFonts w:ascii="FrankRuehl" w:hAnsi="FrankRuehl" w:cs="FrankRuehl"/>
          <w:spacing w:val="10"/>
          <w:sz w:val="28"/>
          <w:szCs w:val="28"/>
          <w:rtl/>
        </w:rPr>
      </w:pPr>
      <w:r>
        <w:rPr>
          <w:rFonts w:ascii="FrankRuehl" w:hAnsi="FrankRuehl" w:cs="FrankRuehl" w:hint="cs"/>
          <w:sz w:val="28"/>
          <w:szCs w:val="28"/>
          <w:rtl/>
        </w:rPr>
        <w:t xml:space="preserve">יתר על כן, </w:t>
      </w:r>
      <w:r w:rsidR="00645B60">
        <w:rPr>
          <w:rFonts w:ascii="FrankRuehl" w:hAnsi="FrankRuehl" w:cs="FrankRuehl" w:hint="cs"/>
          <w:sz w:val="28"/>
          <w:szCs w:val="28"/>
          <w:rtl/>
        </w:rPr>
        <w:t xml:space="preserve">במקרה כאן קנה </w:t>
      </w:r>
      <w:r>
        <w:rPr>
          <w:rFonts w:ascii="FrankRuehl" w:hAnsi="FrankRuehl" w:cs="FrankRuehl" w:hint="cs"/>
          <w:sz w:val="28"/>
          <w:szCs w:val="28"/>
          <w:rtl/>
        </w:rPr>
        <w:t xml:space="preserve">בית הדין הרבני </w:t>
      </w:r>
      <w:r w:rsidR="00645B60">
        <w:rPr>
          <w:rFonts w:ascii="FrankRuehl" w:hAnsi="FrankRuehl" w:cs="FrankRuehl" w:hint="cs"/>
          <w:sz w:val="28"/>
          <w:szCs w:val="28"/>
          <w:rtl/>
        </w:rPr>
        <w:t>"סמכות נמשכת";</w:t>
      </w:r>
      <w:r>
        <w:rPr>
          <w:rFonts w:ascii="FrankRuehl" w:hAnsi="FrankRuehl" w:cs="FrankRuehl" w:hint="cs"/>
          <w:sz w:val="28"/>
          <w:szCs w:val="28"/>
          <w:rtl/>
        </w:rPr>
        <w:t xml:space="preserve"> </w:t>
      </w:r>
      <w:r w:rsidR="00F838F9" w:rsidRPr="00000D2F">
        <w:rPr>
          <w:rFonts w:ascii="FrankRuehl" w:hAnsi="FrankRuehl" w:cs="FrankRuehl" w:hint="cs"/>
          <w:sz w:val="28"/>
          <w:szCs w:val="28"/>
          <w:rtl/>
        </w:rPr>
        <w:t xml:space="preserve">בית הדין </w:t>
      </w:r>
      <w:r w:rsidR="00645B60">
        <w:rPr>
          <w:rFonts w:ascii="FrankRuehl" w:hAnsi="FrankRuehl" w:cs="FrankRuehl" w:hint="cs"/>
          <w:sz w:val="28"/>
          <w:szCs w:val="28"/>
          <w:rtl/>
        </w:rPr>
        <w:t xml:space="preserve">הרבני </w:t>
      </w:r>
      <w:r w:rsidR="00F838F9" w:rsidRPr="00000D2F">
        <w:rPr>
          <w:rFonts w:ascii="FrankRuehl" w:hAnsi="FrankRuehl" w:cs="FrankRuehl" w:hint="cs"/>
          <w:sz w:val="28"/>
          <w:szCs w:val="28"/>
          <w:rtl/>
        </w:rPr>
        <w:t>"</w:t>
      </w:r>
      <w:r w:rsidR="00F838F9" w:rsidRPr="00000D2F">
        <w:rPr>
          <w:rFonts w:ascii="FrankRuehl" w:hAnsi="FrankRuehl" w:cs="Miriam" w:hint="cs"/>
          <w:sz w:val="28"/>
          <w:rtl/>
        </w:rPr>
        <w:t>דן ופסק</w:t>
      </w:r>
      <w:r w:rsidR="00F838F9" w:rsidRPr="00000D2F">
        <w:rPr>
          <w:rFonts w:ascii="FrankRuehl" w:hAnsi="FrankRuehl" w:cs="FrankRuehl" w:hint="cs"/>
          <w:sz w:val="28"/>
          <w:szCs w:val="28"/>
          <w:rtl/>
        </w:rPr>
        <w:t>"</w:t>
      </w:r>
      <w:r w:rsidR="001B3D6B" w:rsidRPr="00000D2F">
        <w:rPr>
          <w:rFonts w:ascii="FrankRuehl" w:hAnsi="FrankRuehl" w:cs="FrankRuehl" w:hint="cs"/>
          <w:sz w:val="28"/>
          <w:szCs w:val="28"/>
          <w:rtl/>
        </w:rPr>
        <w:t xml:space="preserve"> מכוח סמכותו המקורית</w:t>
      </w:r>
      <w:r w:rsidR="00645B60">
        <w:rPr>
          <w:rFonts w:ascii="FrankRuehl" w:hAnsi="FrankRuehl" w:cs="FrankRuehl" w:hint="cs"/>
          <w:sz w:val="28"/>
          <w:szCs w:val="28"/>
          <w:rtl/>
        </w:rPr>
        <w:t xml:space="preserve"> שכן</w:t>
      </w:r>
      <w:r w:rsidR="001B3D6B" w:rsidRPr="00000D2F">
        <w:rPr>
          <w:rFonts w:ascii="FrankRuehl" w:hAnsi="FrankRuehl" w:cs="FrankRuehl" w:hint="cs"/>
          <w:sz w:val="28"/>
          <w:szCs w:val="28"/>
          <w:rtl/>
        </w:rPr>
        <w:t>;</w:t>
      </w:r>
      <w:r w:rsidR="00F838F9" w:rsidRPr="00000D2F">
        <w:rPr>
          <w:rFonts w:ascii="FrankRuehl" w:hAnsi="FrankRuehl" w:cs="FrankRuehl" w:hint="cs"/>
          <w:sz w:val="28"/>
          <w:szCs w:val="28"/>
          <w:rtl/>
        </w:rPr>
        <w:t xml:space="preserve"> הצדדים ניהלו הליכים בבית הדין הרבני משך </w:t>
      </w:r>
      <w:r w:rsidR="001B3D6B" w:rsidRPr="00000D2F">
        <w:rPr>
          <w:rFonts w:ascii="FrankRuehl" w:hAnsi="FrankRuehl" w:cs="FrankRuehl" w:hint="cs"/>
          <w:sz w:val="28"/>
          <w:szCs w:val="28"/>
          <w:rtl/>
        </w:rPr>
        <w:t>כ</w:t>
      </w:r>
      <w:r w:rsidR="00F838F9" w:rsidRPr="00000D2F">
        <w:rPr>
          <w:rFonts w:ascii="FrankRuehl" w:hAnsi="FrankRuehl" w:cs="FrankRuehl" w:hint="cs"/>
          <w:sz w:val="28"/>
          <w:szCs w:val="28"/>
          <w:rtl/>
        </w:rPr>
        <w:t xml:space="preserve">מספר שנים, שני הצדדים תיארו את ההליכים </w:t>
      </w:r>
      <w:r>
        <w:rPr>
          <w:rFonts w:ascii="FrankRuehl" w:hAnsi="FrankRuehl" w:cs="FrankRuehl" w:hint="cs"/>
          <w:sz w:val="28"/>
          <w:szCs w:val="28"/>
          <w:rtl/>
        </w:rPr>
        <w:t xml:space="preserve">הללו </w:t>
      </w:r>
      <w:r w:rsidR="00F838F9" w:rsidRPr="00000D2F">
        <w:rPr>
          <w:rFonts w:ascii="FrankRuehl" w:hAnsi="FrankRuehl" w:cs="FrankRuehl" w:hint="cs"/>
          <w:sz w:val="28"/>
          <w:szCs w:val="28"/>
          <w:rtl/>
        </w:rPr>
        <w:t xml:space="preserve">כמורכבים וקשים, ההסכם מושא התובענה בפניי </w:t>
      </w:r>
      <w:r>
        <w:rPr>
          <w:rFonts w:ascii="FrankRuehl" w:hAnsi="FrankRuehl" w:cs="FrankRuehl" w:hint="cs"/>
          <w:sz w:val="28"/>
          <w:szCs w:val="28"/>
          <w:rtl/>
        </w:rPr>
        <w:t xml:space="preserve">נערך ונחתם במסגרת דיון שהתנהל בבית הדין הרבני והוראות ההסכם נוסחו על ידי הצדדים בסיוע בית הדין הרבני לפרוטוקול הדיון. על כן </w:t>
      </w:r>
      <w:r w:rsidR="00F838F9" w:rsidRPr="00000D2F">
        <w:rPr>
          <w:rFonts w:ascii="FrankRuehl" w:hAnsi="FrankRuehl" w:cs="FrankRuehl" w:hint="cs"/>
          <w:sz w:val="28"/>
          <w:szCs w:val="28"/>
          <w:rtl/>
        </w:rPr>
        <w:t>בית הדין הרבני, בעת אישור ההסכם ומת</w:t>
      </w:r>
      <w:r w:rsidR="001B3D6B" w:rsidRPr="00000D2F">
        <w:rPr>
          <w:rFonts w:ascii="FrankRuehl" w:hAnsi="FrankRuehl" w:cs="FrankRuehl" w:hint="cs"/>
          <w:sz w:val="28"/>
          <w:szCs w:val="28"/>
          <w:rtl/>
        </w:rPr>
        <w:t>ן פסק הדין - למעשה הכריע בסוגיות הממוניות בין הצדדים. יתר על כן, מקום בו בבית הדין הרבני התנהלו במשך שנים הליכים בין הצדדים, הרי שלבית הדין הרבני יש יתרון על-פני ערכאה זו בכל הנוגע לשאלות שבמחלוקת.</w:t>
      </w:r>
    </w:p>
    <w:p w:rsidR="00AC2F1D" w:rsidRDefault="00AC2F1D" w:rsidP="00AC2F1D">
      <w:pPr>
        <w:spacing w:line="360" w:lineRule="auto"/>
        <w:jc w:val="both"/>
        <w:rPr>
          <w:rFonts w:ascii="FrankRuehl" w:hAnsi="FrankRuehl" w:cs="FrankRuehl"/>
          <w:spacing w:val="10"/>
          <w:sz w:val="28"/>
          <w:szCs w:val="28"/>
          <w:rtl/>
        </w:rPr>
      </w:pPr>
    </w:p>
    <w:p w:rsidR="00CD0A5D" w:rsidRDefault="00710D1F" w:rsidP="00CD0A5D">
      <w:pPr>
        <w:spacing w:line="360" w:lineRule="auto"/>
        <w:jc w:val="both"/>
        <w:rPr>
          <w:rFonts w:ascii="FrankRuehl" w:hAnsi="FrankRuehl" w:cs="FrankRuehl"/>
          <w:spacing w:val="10"/>
          <w:sz w:val="28"/>
          <w:szCs w:val="28"/>
          <w:rtl/>
        </w:rPr>
      </w:pPr>
      <w:r>
        <w:rPr>
          <w:rFonts w:ascii="FrankRuehl" w:hAnsi="FrankRuehl" w:cs="FrankRuehl" w:hint="cs"/>
          <w:spacing w:val="10"/>
          <w:sz w:val="28"/>
          <w:szCs w:val="28"/>
          <w:rtl/>
        </w:rPr>
        <w:t xml:space="preserve">נפסק כי </w:t>
      </w:r>
      <w:r w:rsidR="00000D2F" w:rsidRPr="00000D2F">
        <w:rPr>
          <w:rFonts w:ascii="FrankRuehl" w:hAnsi="FrankRuehl" w:cs="FrankRuehl"/>
          <w:spacing w:val="10"/>
          <w:sz w:val="28"/>
          <w:szCs w:val="28"/>
          <w:rtl/>
        </w:rPr>
        <w:t xml:space="preserve">רעיון הסמכות הנמשכת </w:t>
      </w:r>
      <w:r>
        <w:rPr>
          <w:rFonts w:ascii="FrankRuehl" w:hAnsi="FrankRuehl" w:cs="FrankRuehl" w:hint="cs"/>
          <w:spacing w:val="10"/>
          <w:sz w:val="28"/>
          <w:szCs w:val="28"/>
          <w:rtl/>
        </w:rPr>
        <w:t xml:space="preserve">והכלל </w:t>
      </w:r>
      <w:r w:rsidR="00000D2F" w:rsidRPr="00000D2F">
        <w:rPr>
          <w:rFonts w:ascii="FrankRuehl" w:hAnsi="FrankRuehl" w:cs="FrankRuehl"/>
          <w:spacing w:val="10"/>
          <w:sz w:val="28"/>
          <w:szCs w:val="28"/>
          <w:rtl/>
        </w:rPr>
        <w:t>בדבר ענין תלוי ועומד</w:t>
      </w:r>
      <w:r w:rsidR="00000D2F" w:rsidRPr="00000D2F">
        <w:rPr>
          <w:rFonts w:ascii="FrankRuehl" w:hAnsi="FrankRuehl" w:cs="FrankRuehl" w:hint="cs"/>
          <w:spacing w:val="10"/>
          <w:sz w:val="28"/>
          <w:szCs w:val="28"/>
          <w:rtl/>
        </w:rPr>
        <w:t xml:space="preserve"> </w:t>
      </w:r>
      <w:r w:rsidR="00000D2F" w:rsidRPr="00000D2F">
        <w:rPr>
          <w:rFonts w:ascii="FrankRuehl" w:hAnsi="FrankRuehl" w:cs="FrankRuehl"/>
          <w:spacing w:val="10"/>
        </w:rPr>
        <w:t>Lis Alibi Pendens</w:t>
      </w:r>
      <w:r w:rsidR="00000D2F" w:rsidRPr="00000D2F">
        <w:rPr>
          <w:rFonts w:ascii="FrankRuehl" w:hAnsi="FrankRuehl" w:cs="FrankRuehl"/>
          <w:spacing w:val="10"/>
          <w:sz w:val="28"/>
          <w:szCs w:val="28"/>
          <w:rtl/>
        </w:rPr>
        <w:t>, שואבים מעקרון הכיבוד ההדדי בין ערכאות</w:t>
      </w:r>
      <w:r>
        <w:rPr>
          <w:rFonts w:ascii="FrankRuehl" w:hAnsi="FrankRuehl" w:cs="FrankRuehl" w:hint="cs"/>
          <w:spacing w:val="10"/>
          <w:sz w:val="28"/>
          <w:szCs w:val="28"/>
          <w:rtl/>
        </w:rPr>
        <w:t>. כללים אלו לא לשמם בלבד קיימים אלא על</w:t>
      </w:r>
      <w:r w:rsidR="00CD0A5D">
        <w:rPr>
          <w:rFonts w:ascii="FrankRuehl" w:hAnsi="FrankRuehl" w:cs="FrankRuehl" w:hint="cs"/>
          <w:spacing w:val="10"/>
          <w:sz w:val="28"/>
          <w:szCs w:val="28"/>
          <w:rtl/>
        </w:rPr>
        <w:t>-</w:t>
      </w:r>
      <w:r>
        <w:rPr>
          <w:rFonts w:ascii="FrankRuehl" w:hAnsi="FrankRuehl" w:cs="FrankRuehl" w:hint="cs"/>
          <w:spacing w:val="10"/>
          <w:sz w:val="28"/>
          <w:szCs w:val="28"/>
          <w:rtl/>
        </w:rPr>
        <w:t>מנת להבטיח את מימושן של ה</w:t>
      </w:r>
      <w:r w:rsidR="00000D2F" w:rsidRPr="00000D2F">
        <w:rPr>
          <w:rFonts w:ascii="FrankRuehl" w:hAnsi="FrankRuehl" w:cs="FrankRuehl"/>
          <w:spacing w:val="10"/>
          <w:sz w:val="28"/>
          <w:szCs w:val="28"/>
          <w:rtl/>
        </w:rPr>
        <w:t xml:space="preserve">כרעות שיפוטיות שניתנו, או </w:t>
      </w:r>
      <w:r>
        <w:rPr>
          <w:rFonts w:ascii="FrankRuehl" w:hAnsi="FrankRuehl" w:cs="FrankRuehl" w:hint="cs"/>
          <w:spacing w:val="10"/>
          <w:sz w:val="28"/>
          <w:szCs w:val="28"/>
          <w:rtl/>
        </w:rPr>
        <w:t xml:space="preserve">הכרעות שיפוטיות </w:t>
      </w:r>
      <w:r w:rsidR="00000D2F" w:rsidRPr="00000D2F">
        <w:rPr>
          <w:rFonts w:ascii="FrankRuehl" w:hAnsi="FrankRuehl" w:cs="FrankRuehl"/>
          <w:spacing w:val="10"/>
          <w:sz w:val="28"/>
          <w:szCs w:val="28"/>
          <w:rtl/>
        </w:rPr>
        <w:t>שעתידות לקרום עור וגידים, ו</w:t>
      </w:r>
      <w:r>
        <w:rPr>
          <w:rFonts w:ascii="FrankRuehl" w:hAnsi="FrankRuehl" w:cs="FrankRuehl" w:hint="cs"/>
          <w:spacing w:val="10"/>
          <w:sz w:val="28"/>
          <w:szCs w:val="28"/>
          <w:rtl/>
        </w:rPr>
        <w:t xml:space="preserve">כך </w:t>
      </w:r>
      <w:r w:rsidR="00000D2F" w:rsidRPr="00000D2F">
        <w:rPr>
          <w:rFonts w:ascii="FrankRuehl" w:hAnsi="FrankRuehl" w:cs="FrankRuehl"/>
          <w:spacing w:val="10"/>
          <w:sz w:val="28"/>
          <w:szCs w:val="28"/>
          <w:rtl/>
        </w:rPr>
        <w:t>למנוע דיסהרמוניה בהכרעות המתקבלות</w:t>
      </w:r>
      <w:r>
        <w:rPr>
          <w:rFonts w:ascii="FrankRuehl" w:hAnsi="FrankRuehl" w:cs="FrankRuehl" w:hint="cs"/>
          <w:spacing w:val="10"/>
          <w:sz w:val="28"/>
          <w:szCs w:val="28"/>
          <w:rtl/>
        </w:rPr>
        <w:t xml:space="preserve">. ראו </w:t>
      </w:r>
      <w:r w:rsidRPr="00710D1F">
        <w:rPr>
          <w:rFonts w:ascii="FrankRuehl" w:hAnsi="FrankRuehl" w:cs="FrankRuehl" w:hint="cs"/>
          <w:color w:val="000000"/>
          <w:sz w:val="28"/>
          <w:szCs w:val="28"/>
          <w:shd w:val="clear" w:color="auto" w:fill="FFFFFF"/>
          <w:rtl/>
        </w:rPr>
        <w:t>בג"צ 4111/07</w:t>
      </w:r>
      <w:r>
        <w:rPr>
          <w:rFonts w:ascii="FrankRuehl" w:hAnsi="FrankRuehl" w:cs="FrankRuehl"/>
          <w:b/>
          <w:bCs/>
          <w:color w:val="000000"/>
          <w:sz w:val="28"/>
          <w:szCs w:val="28"/>
          <w:shd w:val="clear" w:color="auto" w:fill="FFFFFF"/>
          <w:rtl/>
        </w:rPr>
        <w:t xml:space="preserve"> פלונית נ' פלוני</w:t>
      </w:r>
      <w:r>
        <w:rPr>
          <w:rFonts w:ascii="FrankRuehl" w:hAnsi="FrankRuehl" w:cs="FrankRuehl" w:hint="cs"/>
          <w:spacing w:val="10"/>
          <w:sz w:val="28"/>
          <w:szCs w:val="28"/>
          <w:rtl/>
        </w:rPr>
        <w:t>, מיום 27.</w:t>
      </w:r>
      <w:r w:rsidR="00CD0A5D">
        <w:rPr>
          <w:rFonts w:ascii="FrankRuehl" w:hAnsi="FrankRuehl" w:cs="FrankRuehl" w:hint="cs"/>
          <w:spacing w:val="10"/>
          <w:sz w:val="28"/>
          <w:szCs w:val="28"/>
          <w:rtl/>
        </w:rPr>
        <w:t>07.2008 עמוד 5 ואילך לפסק הדין</w:t>
      </w:r>
      <w:r>
        <w:rPr>
          <w:rFonts w:ascii="FrankRuehl" w:hAnsi="FrankRuehl" w:cs="FrankRuehl" w:hint="cs"/>
          <w:spacing w:val="10"/>
          <w:sz w:val="28"/>
          <w:szCs w:val="28"/>
          <w:rtl/>
        </w:rPr>
        <w:t xml:space="preserve"> והאסמכתאות שם.</w:t>
      </w:r>
      <w:r w:rsidR="00AC2F1D">
        <w:rPr>
          <w:rFonts w:ascii="FrankRuehl" w:hAnsi="FrankRuehl" w:cs="FrankRuehl" w:hint="cs"/>
          <w:spacing w:val="10"/>
          <w:sz w:val="28"/>
          <w:szCs w:val="28"/>
          <w:rtl/>
        </w:rPr>
        <w:t xml:space="preserve"> </w:t>
      </w:r>
    </w:p>
    <w:p w:rsidR="00CD0A5D" w:rsidRDefault="00CD0A5D" w:rsidP="00CD0A5D">
      <w:pPr>
        <w:spacing w:line="360" w:lineRule="auto"/>
        <w:jc w:val="both"/>
        <w:rPr>
          <w:rFonts w:ascii="FrankRuehl" w:hAnsi="FrankRuehl" w:cs="FrankRuehl"/>
          <w:spacing w:val="10"/>
          <w:sz w:val="28"/>
          <w:szCs w:val="28"/>
          <w:rtl/>
        </w:rPr>
      </w:pPr>
    </w:p>
    <w:p w:rsidR="00CD0A5D" w:rsidRDefault="00710D1F" w:rsidP="00CD0A5D">
      <w:pPr>
        <w:spacing w:line="360" w:lineRule="auto"/>
        <w:jc w:val="both"/>
        <w:rPr>
          <w:rFonts w:ascii="FrankRuehl" w:hAnsi="FrankRuehl" w:cs="FrankRuehl"/>
          <w:spacing w:val="10"/>
          <w:sz w:val="28"/>
          <w:szCs w:val="28"/>
          <w:rtl/>
        </w:rPr>
      </w:pPr>
      <w:r>
        <w:rPr>
          <w:rFonts w:ascii="FrankRuehl" w:hAnsi="FrankRuehl" w:cs="FrankRuehl" w:hint="cs"/>
          <w:spacing w:val="10"/>
          <w:sz w:val="28"/>
          <w:szCs w:val="28"/>
          <w:rtl/>
        </w:rPr>
        <w:t>עוד נפסק שם כי</w:t>
      </w:r>
      <w:r w:rsidR="00CD0A5D">
        <w:rPr>
          <w:rFonts w:ascii="FrankRuehl" w:hAnsi="FrankRuehl" w:cs="FrankRuehl" w:hint="cs"/>
          <w:spacing w:val="10"/>
          <w:sz w:val="28"/>
          <w:szCs w:val="28"/>
          <w:rtl/>
        </w:rPr>
        <w:t>:</w:t>
      </w:r>
    </w:p>
    <w:p w:rsidR="00CD0A5D" w:rsidRDefault="00CD0A5D" w:rsidP="00AC2F1D">
      <w:pPr>
        <w:spacing w:line="360" w:lineRule="auto"/>
        <w:jc w:val="both"/>
        <w:rPr>
          <w:rFonts w:ascii="FrankRuehl" w:hAnsi="FrankRuehl" w:cs="FrankRuehl"/>
          <w:spacing w:val="10"/>
          <w:sz w:val="28"/>
          <w:szCs w:val="28"/>
          <w:rtl/>
        </w:rPr>
      </w:pPr>
    </w:p>
    <w:p w:rsidR="00EC6377" w:rsidRPr="00EC6377" w:rsidRDefault="00710D1F" w:rsidP="00CD0A5D">
      <w:pPr>
        <w:ind w:left="720" w:right="1418"/>
        <w:jc w:val="both"/>
        <w:rPr>
          <w:rFonts w:ascii="Miriam" w:hAnsi="Miriam" w:cs="Miriam"/>
          <w:spacing w:val="10"/>
          <w:rtl/>
        </w:rPr>
      </w:pPr>
      <w:r w:rsidRPr="00EC6377">
        <w:rPr>
          <w:rFonts w:ascii="Miriam" w:hAnsi="Miriam" w:cs="Miriam"/>
          <w:spacing w:val="10"/>
          <w:rtl/>
        </w:rPr>
        <w:t>"</w:t>
      </w:r>
      <w:r w:rsidR="00000D2F" w:rsidRPr="00EC6377">
        <w:rPr>
          <w:rFonts w:ascii="Miriam" w:hAnsi="Miriam" w:cs="Miriam"/>
          <w:spacing w:val="10"/>
          <w:rtl/>
        </w:rPr>
        <w:t>הדעת נותנת, כי אם יונח לאותה ערכאה לשוב ולהידרש להכרעה שיצאה תחת ידיה, יקטן הסיכון מפני סיכולה של זו, או מפני סיכולו של הקו השיפוטי שנקטה, והוא רלוונטי אף אם השתנו הנסיבות באופן שאינו מאפשר עוד להיזקק לאותה הכרעה.</w:t>
      </w:r>
      <w:r w:rsidRPr="00EC6377">
        <w:rPr>
          <w:rFonts w:ascii="Miriam" w:hAnsi="Miriam" w:cs="Miriam"/>
          <w:spacing w:val="10"/>
          <w:rtl/>
        </w:rPr>
        <w:t xml:space="preserve"> </w:t>
      </w:r>
      <w:r w:rsidR="00000D2F" w:rsidRPr="00EC6377">
        <w:rPr>
          <w:rFonts w:ascii="Miriam" w:hAnsi="Miriam" w:cs="Miriam"/>
          <w:spacing w:val="10"/>
          <w:rtl/>
        </w:rPr>
        <w:t>מן המבחן העקרוני נגזרים שני יסודות מעשיים, שהצטברותם יחד משיתה את הבסיס להכרה בקיומה של סמכות נמשכת. לאלה ניתן ביטוי במרביתם של פסקי-הדין שעסקו בסוגיית הסמכות, ובאמצעותם ניתן להתוות קווים ברורים לדמותה של ההלכה המחייבת. </w:t>
      </w:r>
      <w:r w:rsidR="00000D2F" w:rsidRPr="00EC6377">
        <w:rPr>
          <w:rFonts w:ascii="Miriam" w:hAnsi="Miriam" w:cs="Miriam"/>
          <w:rtl/>
        </w:rPr>
        <w:t>התנאי הראשון</w:t>
      </w:r>
      <w:r w:rsidR="00000D2F" w:rsidRPr="00EC6377">
        <w:rPr>
          <w:rFonts w:ascii="Miriam" w:hAnsi="Miriam" w:cs="Miriam"/>
          <w:spacing w:val="10"/>
          <w:rtl/>
        </w:rPr>
        <w:t> הוא, כי ההחלטה המקורית ניתנה לאחר בירור ושקילה. עליה לשקף הליך של דיון משפטי, שבמהלכו נשמעו או הוגשו טיעוני הצדדים, נקבעו ממצאים ונתקבלו הכרעות. על כן ברור, ראשית, כי סוגיה מאוחרת שכלל לא נדונה בערכאה המקורית וממילא לא הוכרעה, לא תקים סמכות נמשכת לאותה ערכאה ואפילו היא קשורה לענינים אחרים, שכן נדונו (</w:t>
      </w:r>
      <w:hyperlink r:id="rId7" w:tgtFrame="blank" w:history="1">
        <w:r w:rsidR="00000D2F" w:rsidRPr="00EC6377">
          <w:rPr>
            <w:rStyle w:val="Hyperlink"/>
            <w:rFonts w:ascii="Miriam" w:hAnsi="Miriam" w:cs="Miriam"/>
            <w:color w:val="auto"/>
            <w:spacing w:val="10"/>
            <w:u w:val="none"/>
            <w:rtl/>
          </w:rPr>
          <w:t>ע"א 811/80 בלום נ' שטרן, פ"ד לה</w:t>
        </w:r>
      </w:hyperlink>
      <w:r w:rsidR="00000D2F" w:rsidRPr="00EC6377">
        <w:rPr>
          <w:rFonts w:ascii="Miriam" w:hAnsi="Miriam" w:cs="Miriam"/>
          <w:spacing w:val="10"/>
          <w:rtl/>
        </w:rPr>
        <w:t>(3) 757, 761 (1981); </w:t>
      </w:r>
      <w:hyperlink r:id="rId8" w:tgtFrame="blank" w:history="1">
        <w:r w:rsidR="00000D2F" w:rsidRPr="00EC6377">
          <w:rPr>
            <w:rStyle w:val="Hyperlink"/>
            <w:rFonts w:ascii="Miriam" w:hAnsi="Miriam" w:cs="Miriam"/>
            <w:color w:val="auto"/>
            <w:spacing w:val="10"/>
            <w:u w:val="none"/>
            <w:rtl/>
          </w:rPr>
          <w:t>בג"ץ 6012/96 גרייבר (סגל) נ' בית הדין הרבני האזורי אשדוד, פ"ד נ</w:t>
        </w:r>
      </w:hyperlink>
      <w:r w:rsidR="00000D2F" w:rsidRPr="00EC6377">
        <w:rPr>
          <w:rFonts w:ascii="Miriam" w:hAnsi="Miriam" w:cs="Miriam"/>
          <w:spacing w:val="10"/>
          <w:rtl/>
        </w:rPr>
        <w:t>(5) 397, 401 (1996); </w:t>
      </w:r>
      <w:hyperlink r:id="rId9" w:tgtFrame="blank" w:history="1">
        <w:r w:rsidR="00000D2F" w:rsidRPr="00EC6377">
          <w:rPr>
            <w:rStyle w:val="Hyperlink"/>
            <w:rFonts w:ascii="Miriam" w:hAnsi="Miriam" w:cs="Miriam"/>
            <w:color w:val="auto"/>
            <w:spacing w:val="10"/>
            <w:u w:val="none"/>
            <w:rtl/>
          </w:rPr>
          <w:t>בג"ץ 6193/98 קדור (חלבי) נ' שיח' הינו, פ"ד נג</w:t>
        </w:r>
      </w:hyperlink>
      <w:r w:rsidR="00000D2F" w:rsidRPr="00EC6377">
        <w:rPr>
          <w:rFonts w:ascii="Miriam" w:hAnsi="Miriam" w:cs="Miriam"/>
          <w:spacing w:val="10"/>
          <w:rtl/>
        </w:rPr>
        <w:t>(2) 625, 630 (1999)).</w:t>
      </w:r>
      <w:r w:rsidRPr="00EC6377">
        <w:rPr>
          <w:rFonts w:ascii="Miriam" w:hAnsi="Miriam" w:cs="Miriam"/>
          <w:spacing w:val="10"/>
          <w:rtl/>
        </w:rPr>
        <w:t xml:space="preserve"> </w:t>
      </w:r>
      <w:r w:rsidR="00000D2F" w:rsidRPr="00EC6377">
        <w:rPr>
          <w:rFonts w:ascii="Miriam" w:hAnsi="Miriam" w:cs="Miriam"/>
          <w:spacing w:val="10"/>
          <w:rtl/>
        </w:rPr>
        <w:t>מסקנה שנייה היא, כי אישור פורמאלי של הסכם, שהונח בפניה של ערכאה שיפוטית אך היא לא ירדה לתוכנו ולא הכריעה דבר לגביו, לא יוכל – ככלל – לשמש בסיס להכרה בסמכותה הנמשכת (</w:t>
      </w:r>
      <w:hyperlink r:id="rId10" w:tgtFrame="blank" w:history="1">
        <w:r w:rsidR="00000D2F" w:rsidRPr="00EC6377">
          <w:rPr>
            <w:rStyle w:val="Hyperlink"/>
            <w:rFonts w:ascii="Miriam" w:hAnsi="Miriam" w:cs="Miriam"/>
            <w:color w:val="auto"/>
            <w:spacing w:val="10"/>
            <w:u w:val="none"/>
            <w:rtl/>
          </w:rPr>
          <w:t>ע"א 3695/96</w:t>
        </w:r>
      </w:hyperlink>
      <w:r w:rsidR="00000D2F" w:rsidRPr="00EC6377">
        <w:rPr>
          <w:rFonts w:ascii="Miriam" w:hAnsi="Miriam" w:cs="Miriam"/>
          <w:spacing w:val="10"/>
          <w:rtl/>
        </w:rPr>
        <w:t> </w:t>
      </w:r>
      <w:r w:rsidR="00000D2F" w:rsidRPr="00EC6377">
        <w:rPr>
          <w:rFonts w:ascii="Miriam" w:hAnsi="Miriam" w:cs="Miriam"/>
          <w:rtl/>
        </w:rPr>
        <w:t>צייטלין נ' טשינגל</w:t>
      </w:r>
      <w:r w:rsidR="00000D2F" w:rsidRPr="00EC6377">
        <w:rPr>
          <w:rFonts w:ascii="Miriam" w:hAnsi="Miriam" w:cs="Miriam"/>
          <w:spacing w:val="10"/>
          <w:rtl/>
        </w:rPr>
        <w:t>, בפסקה החמישית לפסק-דינה של </w:t>
      </w:r>
      <w:r w:rsidR="00000D2F" w:rsidRPr="00EC6377">
        <w:rPr>
          <w:rFonts w:ascii="Miriam" w:hAnsi="Miriam" w:cs="Miriam"/>
          <w:rtl/>
        </w:rPr>
        <w:t>השופטת ט' שטרסברג-כהן</w:t>
      </w:r>
      <w:r w:rsidR="00000D2F" w:rsidRPr="00EC6377">
        <w:rPr>
          <w:rFonts w:ascii="Miriam" w:hAnsi="Miriam" w:cs="Miriam"/>
          <w:spacing w:val="10"/>
          <w:rtl/>
        </w:rPr>
        <w:t> (</w:t>
      </w:r>
      <w:r w:rsidR="00000D2F" w:rsidRPr="00EC6377">
        <w:rPr>
          <w:rFonts w:ascii="Miriam" w:hAnsi="Miriam" w:cs="Miriam"/>
          <w:rtl/>
        </w:rPr>
        <w:t>[פורסם בנבו]</w:t>
      </w:r>
      <w:r w:rsidR="00000D2F" w:rsidRPr="00EC6377">
        <w:rPr>
          <w:rFonts w:ascii="Miriam" w:hAnsi="Miriam" w:cs="Miriam"/>
          <w:spacing w:val="10"/>
          <w:rtl/>
        </w:rPr>
        <w:t>, 9.4.97); </w:t>
      </w:r>
      <w:hyperlink r:id="rId11" w:tgtFrame="blank" w:history="1">
        <w:r w:rsidR="00000D2F" w:rsidRPr="00EC6377">
          <w:rPr>
            <w:rStyle w:val="Hyperlink"/>
            <w:rFonts w:ascii="Miriam" w:hAnsi="Miriam" w:cs="Miriam"/>
            <w:color w:val="auto"/>
            <w:spacing w:val="10"/>
            <w:u w:val="none"/>
            <w:rtl/>
          </w:rPr>
          <w:t>בג"ץ 9539/00 איתן נ' בית-הדין הרבני האזורי ירושלים, פ"ד נו</w:t>
        </w:r>
      </w:hyperlink>
      <w:r w:rsidR="00000D2F" w:rsidRPr="00EC6377">
        <w:rPr>
          <w:rFonts w:ascii="Miriam" w:hAnsi="Miriam" w:cs="Miriam"/>
          <w:spacing w:val="10"/>
          <w:rtl/>
        </w:rPr>
        <w:t>(1) 125, 133 (2001); </w:t>
      </w:r>
      <w:hyperlink r:id="rId12" w:tgtFrame="blank" w:history="1">
        <w:r w:rsidR="00000D2F" w:rsidRPr="00EC6377">
          <w:rPr>
            <w:rStyle w:val="Hyperlink"/>
            <w:rFonts w:ascii="Miriam" w:hAnsi="Miriam" w:cs="Miriam"/>
            <w:color w:val="auto"/>
            <w:spacing w:val="10"/>
            <w:u w:val="none"/>
            <w:rtl/>
          </w:rPr>
          <w:t>בג"ץ 8578/01 חליווה נ' חליווה, פ"ד נו</w:t>
        </w:r>
      </w:hyperlink>
      <w:r w:rsidR="00000D2F" w:rsidRPr="00EC6377">
        <w:rPr>
          <w:rFonts w:ascii="Miriam" w:hAnsi="Miriam" w:cs="Miriam"/>
          <w:spacing w:val="10"/>
          <w:rtl/>
        </w:rPr>
        <w:t>(5) 634, 640 (2002); </w:t>
      </w:r>
      <w:hyperlink r:id="rId13" w:tgtFrame="blank" w:history="1">
        <w:r w:rsidR="00000D2F" w:rsidRPr="00EC6377">
          <w:rPr>
            <w:rStyle w:val="Hyperlink"/>
            <w:rFonts w:ascii="Miriam" w:hAnsi="Miriam" w:cs="Miriam"/>
            <w:color w:val="auto"/>
            <w:spacing w:val="10"/>
            <w:u w:val="none"/>
            <w:rtl/>
          </w:rPr>
          <w:t>בג"ץ 7341/06</w:t>
        </w:r>
      </w:hyperlink>
      <w:r w:rsidR="00000D2F" w:rsidRPr="00EC6377">
        <w:rPr>
          <w:rFonts w:ascii="Miriam" w:hAnsi="Miriam" w:cs="Miriam"/>
          <w:spacing w:val="10"/>
          <w:rtl/>
        </w:rPr>
        <w:t> </w:t>
      </w:r>
      <w:r w:rsidR="00000D2F" w:rsidRPr="00EC6377">
        <w:rPr>
          <w:rFonts w:ascii="Miriam" w:hAnsi="Miriam" w:cs="Miriam"/>
          <w:rtl/>
        </w:rPr>
        <w:t>פלוני נ' בית הדין הרבני האזורי אשקלון</w:t>
      </w:r>
      <w:r w:rsidR="00000D2F" w:rsidRPr="00EC6377">
        <w:rPr>
          <w:rFonts w:ascii="Miriam" w:hAnsi="Miriam" w:cs="Miriam"/>
          <w:spacing w:val="10"/>
          <w:rtl/>
        </w:rPr>
        <w:t>, בפסקה ח' לפסק-דינו של </w:t>
      </w:r>
      <w:r w:rsidR="00000D2F" w:rsidRPr="00EC6377">
        <w:rPr>
          <w:rFonts w:ascii="Miriam" w:hAnsi="Miriam" w:cs="Miriam"/>
          <w:rtl/>
        </w:rPr>
        <w:t>השופט א' רובינשטיין</w:t>
      </w:r>
      <w:r w:rsidR="00000D2F" w:rsidRPr="00EC6377">
        <w:rPr>
          <w:rFonts w:ascii="Miriam" w:hAnsi="Miriam" w:cs="Miriam"/>
          <w:spacing w:val="10"/>
          <w:rtl/>
        </w:rPr>
        <w:t> (</w:t>
      </w:r>
      <w:r w:rsidR="00000D2F" w:rsidRPr="00EC6377">
        <w:rPr>
          <w:rFonts w:ascii="Miriam" w:hAnsi="Miriam" w:cs="Miriam"/>
          <w:rtl/>
        </w:rPr>
        <w:t>[פורסם בנבו]</w:t>
      </w:r>
      <w:r w:rsidR="00000D2F" w:rsidRPr="00EC6377">
        <w:rPr>
          <w:rFonts w:ascii="Miriam" w:hAnsi="Miriam" w:cs="Miriam"/>
          <w:spacing w:val="10"/>
          <w:rtl/>
        </w:rPr>
        <w:t>, 14.2.08))</w:t>
      </w:r>
      <w:r w:rsidRPr="00EC6377">
        <w:rPr>
          <w:rFonts w:ascii="Miriam" w:hAnsi="Miriam" w:cs="Miriam"/>
          <w:spacing w:val="10"/>
          <w:rtl/>
        </w:rPr>
        <w:t>...</w:t>
      </w:r>
      <w:r w:rsidR="00000D2F" w:rsidRPr="00EC6377">
        <w:rPr>
          <w:rFonts w:ascii="Miriam" w:hAnsi="Miriam" w:cs="Miriam"/>
          <w:spacing w:val="10"/>
          <w:rtl/>
        </w:rPr>
        <w:t>ומנגד, מקום בו התקיים דיון ובירור כאמור, הרי בכל עתירה </w:t>
      </w:r>
      <w:r w:rsidR="00000D2F" w:rsidRPr="00EC6377">
        <w:rPr>
          <w:rFonts w:ascii="Miriam" w:hAnsi="Miriam" w:cs="Miriam"/>
          <w:rtl/>
        </w:rPr>
        <w:t>לשינוי</w:t>
      </w:r>
      <w:r w:rsidR="00000D2F" w:rsidRPr="00EC6377">
        <w:rPr>
          <w:rFonts w:ascii="Miriam" w:hAnsi="Miriam" w:cs="Miriam"/>
          <w:spacing w:val="10"/>
          <w:rtl/>
        </w:rPr>
        <w:t> ההכרעה שנתקבלה, </w:t>
      </w:r>
      <w:r w:rsidR="00000D2F" w:rsidRPr="00EC6377">
        <w:rPr>
          <w:rFonts w:ascii="Miriam" w:hAnsi="Miriam" w:cs="Miriam"/>
          <w:rtl/>
        </w:rPr>
        <w:t>לתיקונה</w:t>
      </w:r>
      <w:r w:rsidR="00000D2F" w:rsidRPr="00EC6377">
        <w:rPr>
          <w:rFonts w:ascii="Miriam" w:hAnsi="Miriam" w:cs="Miriam"/>
          <w:spacing w:val="10"/>
          <w:rtl/>
        </w:rPr>
        <w:t> או </w:t>
      </w:r>
      <w:r w:rsidR="00000D2F" w:rsidRPr="00EC6377">
        <w:rPr>
          <w:rFonts w:ascii="Miriam" w:hAnsi="Miriam" w:cs="Miriam"/>
          <w:rtl/>
        </w:rPr>
        <w:t>לביטולה</w:t>
      </w:r>
      <w:r w:rsidR="00000D2F" w:rsidRPr="00EC6377">
        <w:rPr>
          <w:rFonts w:ascii="Miriam" w:hAnsi="Miriam" w:cs="Miriam"/>
          <w:spacing w:val="10"/>
          <w:rtl/>
        </w:rPr>
        <w:t>, נתונה סמכות נמשכת לערכאה שתחת ידה יצאה הכרעה זו</w:t>
      </w:r>
      <w:r w:rsidR="00EC6377" w:rsidRPr="00EC6377">
        <w:rPr>
          <w:rFonts w:ascii="Miriam" w:hAnsi="Miriam" w:cs="Miriam"/>
          <w:spacing w:val="10"/>
          <w:rtl/>
        </w:rPr>
        <w:t>..."</w:t>
      </w:r>
    </w:p>
    <w:p w:rsidR="00AD0E80" w:rsidRDefault="00AD0E80" w:rsidP="00000D2F">
      <w:pPr>
        <w:shd w:val="clear" w:color="auto" w:fill="FFFFFF"/>
        <w:spacing w:line="360" w:lineRule="auto"/>
        <w:jc w:val="both"/>
        <w:rPr>
          <w:rFonts w:ascii="FrankRuehl" w:hAnsi="FrankRuehl" w:cs="FrankRuehl"/>
          <w:spacing w:val="10"/>
          <w:sz w:val="28"/>
          <w:szCs w:val="28"/>
          <w:rtl/>
        </w:rPr>
      </w:pPr>
    </w:p>
    <w:p w:rsidR="00EC6377" w:rsidRDefault="00645B60" w:rsidP="009A6A7F">
      <w:pPr>
        <w:shd w:val="clear" w:color="auto" w:fill="FFFFFF"/>
        <w:spacing w:line="360" w:lineRule="auto"/>
        <w:jc w:val="both"/>
        <w:rPr>
          <w:rFonts w:ascii="FrankRuehl" w:hAnsi="FrankRuehl" w:cs="FrankRuehl"/>
          <w:spacing w:val="10"/>
          <w:sz w:val="28"/>
          <w:szCs w:val="28"/>
          <w:rtl/>
        </w:rPr>
      </w:pPr>
      <w:r>
        <w:rPr>
          <w:rFonts w:ascii="FrankRuehl" w:hAnsi="FrankRuehl" w:cs="FrankRuehl" w:hint="cs"/>
          <w:spacing w:val="10"/>
          <w:sz w:val="28"/>
          <w:szCs w:val="28"/>
          <w:rtl/>
        </w:rPr>
        <w:t xml:space="preserve">וגם, </w:t>
      </w:r>
      <w:r w:rsidR="00AC2F1D" w:rsidRPr="00645B60">
        <w:rPr>
          <w:rFonts w:ascii="FrankRuehl" w:hAnsi="FrankRuehl" w:cs="FrankRuehl" w:hint="cs"/>
          <w:b/>
          <w:bCs/>
          <w:spacing w:val="10"/>
          <w:sz w:val="28"/>
          <w:szCs w:val="28"/>
          <w:rtl/>
        </w:rPr>
        <w:t>ממילא, הרי שחל בעניינו סעיף 2 לחוק יחסי ממון בין בני זוג, התשל"ג-1973, הק</w:t>
      </w:r>
      <w:r w:rsidR="009A6A7F" w:rsidRPr="00645B60">
        <w:rPr>
          <w:rFonts w:ascii="FrankRuehl" w:hAnsi="FrankRuehl" w:cs="FrankRuehl" w:hint="cs"/>
          <w:b/>
          <w:bCs/>
          <w:spacing w:val="10"/>
          <w:sz w:val="28"/>
          <w:szCs w:val="28"/>
          <w:rtl/>
        </w:rPr>
        <w:t>ו</w:t>
      </w:r>
      <w:r w:rsidR="00AC2F1D" w:rsidRPr="00645B60">
        <w:rPr>
          <w:rFonts w:ascii="FrankRuehl" w:hAnsi="FrankRuehl" w:cs="FrankRuehl" w:hint="cs"/>
          <w:b/>
          <w:bCs/>
          <w:spacing w:val="10"/>
          <w:sz w:val="28"/>
          <w:szCs w:val="28"/>
          <w:rtl/>
        </w:rPr>
        <w:t>בע כי שינוי או ביטול או או תיקון של הסםכ ממון, יעשה על ידי הערכאה שאישרה את הסכם הממון.</w:t>
      </w:r>
      <w:r w:rsidR="00AC2F1D">
        <w:rPr>
          <w:rFonts w:ascii="FrankRuehl" w:hAnsi="FrankRuehl" w:cs="FrankRuehl" w:hint="cs"/>
          <w:spacing w:val="10"/>
          <w:sz w:val="28"/>
          <w:szCs w:val="28"/>
          <w:rtl/>
        </w:rPr>
        <w:t xml:space="preserve"> ראו גם </w:t>
      </w:r>
      <w:r w:rsidR="00EC6377">
        <w:rPr>
          <w:rFonts w:ascii="FrankRuehl" w:hAnsi="FrankRuehl" w:cs="FrankRuehl" w:hint="cs"/>
          <w:spacing w:val="10"/>
          <w:sz w:val="28"/>
          <w:szCs w:val="28"/>
          <w:rtl/>
        </w:rPr>
        <w:t xml:space="preserve">עמוד 10 לפסה"ד </w:t>
      </w:r>
      <w:r w:rsidR="00AC2F1D">
        <w:rPr>
          <w:rFonts w:ascii="FrankRuehl" w:hAnsi="FrankRuehl" w:cs="FrankRuehl" w:hint="cs"/>
          <w:spacing w:val="10"/>
          <w:sz w:val="28"/>
          <w:szCs w:val="28"/>
          <w:rtl/>
        </w:rPr>
        <w:t xml:space="preserve">בעניין ראו </w:t>
      </w:r>
      <w:r w:rsidR="00AC2F1D" w:rsidRPr="00710D1F">
        <w:rPr>
          <w:rFonts w:ascii="FrankRuehl" w:hAnsi="FrankRuehl" w:cs="FrankRuehl" w:hint="cs"/>
          <w:color w:val="000000"/>
          <w:sz w:val="28"/>
          <w:szCs w:val="28"/>
          <w:shd w:val="clear" w:color="auto" w:fill="FFFFFF"/>
          <w:rtl/>
        </w:rPr>
        <w:t>בג"צ 4111/07</w:t>
      </w:r>
      <w:r w:rsidR="00AC2F1D">
        <w:rPr>
          <w:rFonts w:ascii="FrankRuehl" w:hAnsi="FrankRuehl" w:cs="FrankRuehl"/>
          <w:b/>
          <w:bCs/>
          <w:color w:val="000000"/>
          <w:sz w:val="28"/>
          <w:szCs w:val="28"/>
          <w:shd w:val="clear" w:color="auto" w:fill="FFFFFF"/>
          <w:rtl/>
        </w:rPr>
        <w:t xml:space="preserve"> פלונית נ' פלוני</w:t>
      </w:r>
      <w:r w:rsidR="00AC2F1D">
        <w:rPr>
          <w:rFonts w:ascii="FrankRuehl" w:hAnsi="FrankRuehl" w:cs="FrankRuehl" w:hint="cs"/>
          <w:spacing w:val="10"/>
          <w:sz w:val="28"/>
          <w:szCs w:val="28"/>
          <w:rtl/>
        </w:rPr>
        <w:t xml:space="preserve">, </w:t>
      </w:r>
      <w:r w:rsidR="009A6A7F">
        <w:rPr>
          <w:rFonts w:ascii="FrankRuehl" w:hAnsi="FrankRuehl" w:cs="FrankRuehl" w:hint="cs"/>
          <w:spacing w:val="10"/>
          <w:sz w:val="28"/>
          <w:szCs w:val="28"/>
          <w:rtl/>
        </w:rPr>
        <w:t>הנ"ל. נאמר שם כי לערכאה שאישרה את הסכם הממון, מוקניית סמכות נמשכת גם אם לא ההערכאה לא הכריע בדבר וזאת מכוח הוראת סעיף 2 לחוק יחסי ממון בין בני זוג, התשל"ג-1973. ראו גם האסמכתאות שם.</w:t>
      </w:r>
    </w:p>
    <w:p w:rsidR="00EC6377" w:rsidRDefault="00EC6377" w:rsidP="00AD0E80">
      <w:pPr>
        <w:shd w:val="clear" w:color="auto" w:fill="FFFFFF"/>
        <w:spacing w:line="360" w:lineRule="auto"/>
        <w:jc w:val="both"/>
        <w:rPr>
          <w:rFonts w:ascii="FrankRuehl" w:hAnsi="FrankRuehl" w:cs="FrankRuehl"/>
          <w:spacing w:val="10"/>
          <w:sz w:val="28"/>
          <w:szCs w:val="28"/>
          <w:rtl/>
        </w:rPr>
      </w:pPr>
    </w:p>
    <w:p w:rsidR="00AD0E80" w:rsidRPr="00AD0E80" w:rsidRDefault="00AD0E80" w:rsidP="00AD0E80">
      <w:pPr>
        <w:shd w:val="clear" w:color="auto" w:fill="FFFFFF"/>
        <w:spacing w:line="360" w:lineRule="auto"/>
        <w:jc w:val="both"/>
        <w:rPr>
          <w:rFonts w:ascii="FrankRuehl" w:hAnsi="FrankRuehl" w:cs="FrankRuehl"/>
          <w:spacing w:val="10"/>
          <w:sz w:val="28"/>
          <w:szCs w:val="28"/>
          <w:rtl/>
        </w:rPr>
      </w:pPr>
      <w:r>
        <w:rPr>
          <w:rFonts w:ascii="FrankRuehl" w:hAnsi="FrankRuehl" w:cs="FrankRuehl" w:hint="cs"/>
          <w:spacing w:val="10"/>
          <w:sz w:val="28"/>
          <w:szCs w:val="28"/>
          <w:rtl/>
        </w:rPr>
        <w:t>אשר לטענה כי הליך יישוב הסכסוך נפתח קודם לתובענה זו. בהתאם לחוק להסדר התדיינויות בסכסוכי משפחה התשע"ה-2014, הרי שעל פי סעיף 3 לחוק במסגרת הליך יישוב סכסוך, אין להעלות טענות או עובדות בנוגע לסמכות שיפוט. ניהול הליך יישוב סכסוך אינו מקנה סמכות לערכאה בפניה הוא נדון. ראו גם סעיף 3(ה) הקובע את תקופת עיכוב ההליכים והמורה כי במהלך תקופת עיכוב ההליכים, לא תידון שאלת הסמכות. עוד ראו סעיף 3(ז)(3) וסעיף 3(ח) מהם עולה כי גם מתן סעד זמני או דחוף אין בו לקבוע סמכות לערכאה שנתנה את הסעד, וגם סעיף 4 הקובע כי הגשת תובענה לאחר סיומו של הליך יישוב סכסוך תוגש לערכאה אשר לה הסמכות.</w:t>
      </w:r>
    </w:p>
    <w:p w:rsidR="00845768" w:rsidRPr="00000D2F" w:rsidRDefault="00845768" w:rsidP="00000D2F">
      <w:pPr>
        <w:spacing w:line="360" w:lineRule="auto"/>
        <w:jc w:val="both"/>
        <w:rPr>
          <w:rFonts w:ascii="FrankRuehl" w:hAnsi="FrankRuehl" w:cs="FrankRuehl"/>
          <w:noProof w:val="0"/>
          <w:sz w:val="28"/>
          <w:szCs w:val="28"/>
          <w:rtl/>
        </w:rPr>
      </w:pPr>
    </w:p>
    <w:p w:rsidR="00845768" w:rsidRPr="00CD0A5D" w:rsidRDefault="00845768" w:rsidP="00000D2F">
      <w:pPr>
        <w:spacing w:line="360" w:lineRule="auto"/>
        <w:jc w:val="both"/>
        <w:rPr>
          <w:rFonts w:ascii="FrankRuehl" w:hAnsi="FrankRuehl" w:cs="FrankRuehl"/>
          <w:b/>
          <w:bCs/>
          <w:sz w:val="28"/>
          <w:szCs w:val="28"/>
          <w:rtl/>
        </w:rPr>
      </w:pPr>
      <w:r w:rsidRPr="00CD0A5D">
        <w:rPr>
          <w:rFonts w:ascii="FrankRuehl" w:hAnsi="FrankRuehl" w:cs="FrankRuehl"/>
          <w:b/>
          <w:bCs/>
          <w:noProof w:val="0"/>
          <w:sz w:val="28"/>
          <w:szCs w:val="28"/>
          <w:rtl/>
        </w:rPr>
        <w:t xml:space="preserve">לאור האמור, אני מורה על העברת התובענה לבית הדין הרבני </w:t>
      </w:r>
      <w:r w:rsidR="001B3D6B" w:rsidRPr="00CD0A5D">
        <w:rPr>
          <w:rFonts w:ascii="FrankRuehl" w:hAnsi="FrankRuehl" w:cs="FrankRuehl" w:hint="cs"/>
          <w:b/>
          <w:bCs/>
          <w:sz w:val="28"/>
          <w:szCs w:val="28"/>
          <w:rtl/>
        </w:rPr>
        <w:t>א</w:t>
      </w:r>
      <w:r w:rsidRPr="00CD0A5D">
        <w:rPr>
          <w:rFonts w:ascii="FrankRuehl" w:hAnsi="FrankRuehl" w:cs="FrankRuehl"/>
          <w:b/>
          <w:bCs/>
          <w:sz w:val="28"/>
          <w:szCs w:val="28"/>
          <w:rtl/>
        </w:rPr>
        <w:t>ש</w:t>
      </w:r>
      <w:r w:rsidR="001B3D6B" w:rsidRPr="00CD0A5D">
        <w:rPr>
          <w:rFonts w:ascii="FrankRuehl" w:hAnsi="FrankRuehl" w:cs="FrankRuehl" w:hint="cs"/>
          <w:b/>
          <w:bCs/>
          <w:sz w:val="28"/>
          <w:szCs w:val="28"/>
          <w:rtl/>
        </w:rPr>
        <w:t xml:space="preserve">ר </w:t>
      </w:r>
      <w:r w:rsidRPr="00CD0A5D">
        <w:rPr>
          <w:rFonts w:ascii="FrankRuehl" w:hAnsi="FrankRuehl" w:cs="FrankRuehl"/>
          <w:b/>
          <w:bCs/>
          <w:sz w:val="28"/>
          <w:szCs w:val="28"/>
          <w:rtl/>
        </w:rPr>
        <w:t>לו הסמכות לדון.</w:t>
      </w:r>
    </w:p>
    <w:p w:rsidR="00645B60" w:rsidRDefault="00645B60" w:rsidP="00000D2F">
      <w:pPr>
        <w:spacing w:line="360" w:lineRule="auto"/>
        <w:jc w:val="both"/>
        <w:rPr>
          <w:rFonts w:ascii="FrankRuehl" w:hAnsi="FrankRuehl" w:cs="FrankRuehl"/>
          <w:b/>
          <w:bCs/>
          <w:noProof w:val="0"/>
          <w:sz w:val="28"/>
          <w:szCs w:val="28"/>
          <w:rtl/>
        </w:rPr>
      </w:pPr>
    </w:p>
    <w:p w:rsidR="00845768" w:rsidRPr="00CD0A5D" w:rsidRDefault="00845768" w:rsidP="00000D2F">
      <w:pPr>
        <w:spacing w:line="360" w:lineRule="auto"/>
        <w:jc w:val="both"/>
        <w:rPr>
          <w:rFonts w:ascii="FrankRuehl" w:hAnsi="FrankRuehl" w:cs="FrankRuehl"/>
          <w:b/>
          <w:bCs/>
          <w:noProof w:val="0"/>
          <w:sz w:val="28"/>
          <w:szCs w:val="28"/>
          <w:rtl/>
        </w:rPr>
      </w:pPr>
      <w:r w:rsidRPr="00CD0A5D">
        <w:rPr>
          <w:rFonts w:ascii="FrankRuehl" w:hAnsi="FrankRuehl" w:cs="FrankRuehl"/>
          <w:b/>
          <w:bCs/>
          <w:noProof w:val="0"/>
          <w:sz w:val="28"/>
          <w:szCs w:val="28"/>
          <w:rtl/>
        </w:rPr>
        <w:t>המשיבה תשלם למבקש הוצאות הבקשה סך 4,700 ₪.</w:t>
      </w:r>
    </w:p>
    <w:p w:rsidR="00845768" w:rsidRPr="00000D2F" w:rsidRDefault="00845768" w:rsidP="00000D2F">
      <w:pPr>
        <w:spacing w:line="360" w:lineRule="auto"/>
        <w:jc w:val="both"/>
        <w:rPr>
          <w:rFonts w:ascii="FrankRuehl" w:hAnsi="FrankRuehl" w:cs="FrankRuehl"/>
          <w:noProof w:val="0"/>
          <w:sz w:val="28"/>
          <w:szCs w:val="28"/>
          <w:rtl/>
        </w:rPr>
      </w:pPr>
    </w:p>
    <w:p w:rsidR="00845768" w:rsidRDefault="00845768" w:rsidP="00000D2F">
      <w:pPr>
        <w:spacing w:line="360" w:lineRule="auto"/>
        <w:jc w:val="both"/>
        <w:rPr>
          <w:rFonts w:ascii="FrankRuehl" w:hAnsi="FrankRuehl" w:cs="FrankRuehl"/>
          <w:b/>
          <w:bCs/>
          <w:noProof w:val="0"/>
          <w:sz w:val="28"/>
          <w:szCs w:val="28"/>
          <w:rtl/>
        </w:rPr>
      </w:pPr>
      <w:r w:rsidRPr="00000D2F">
        <w:rPr>
          <w:rFonts w:ascii="FrankRuehl" w:hAnsi="FrankRuehl" w:cs="FrankRuehl"/>
          <w:b/>
          <w:bCs/>
          <w:noProof w:val="0"/>
          <w:sz w:val="28"/>
          <w:szCs w:val="28"/>
          <w:rtl/>
        </w:rPr>
        <w:t>המזכירות תמציא לצדדים ותעביר התובענה לבית הדין הרבני האזורי, אשר לו הסמכות לדון בה – ותסגור התיק.</w:t>
      </w:r>
    </w:p>
    <w:p w:rsidR="00CD0A5D" w:rsidRPr="00000D2F" w:rsidRDefault="00CD0A5D" w:rsidP="00000D2F">
      <w:pPr>
        <w:spacing w:line="360" w:lineRule="auto"/>
        <w:jc w:val="both"/>
        <w:rPr>
          <w:rFonts w:ascii="FrankRuehl" w:hAnsi="FrankRuehl" w:cs="FrankRuehl"/>
          <w:b/>
          <w:bCs/>
          <w:noProof w:val="0"/>
          <w:sz w:val="28"/>
          <w:szCs w:val="28"/>
          <w:rtl/>
        </w:rPr>
      </w:pPr>
    </w:p>
    <w:p w:rsidR="00845768" w:rsidRPr="00000D2F" w:rsidRDefault="00845768" w:rsidP="00000D2F">
      <w:pPr>
        <w:spacing w:line="360" w:lineRule="auto"/>
        <w:jc w:val="both"/>
        <w:rPr>
          <w:rFonts w:ascii="FrankRuehl" w:hAnsi="FrankRuehl" w:cs="FrankRuehl"/>
          <w:b/>
          <w:bCs/>
          <w:noProof w:val="0"/>
          <w:sz w:val="28"/>
          <w:szCs w:val="28"/>
          <w:rtl/>
        </w:rPr>
      </w:pPr>
      <w:r w:rsidRPr="00000D2F">
        <w:rPr>
          <w:rFonts w:ascii="FrankRuehl" w:hAnsi="FrankRuehl" w:cs="FrankRuehl" w:hint="cs"/>
          <w:b/>
          <w:bCs/>
          <w:noProof w:val="0"/>
          <w:sz w:val="28"/>
          <w:szCs w:val="28"/>
          <w:u w:val="single"/>
          <w:rtl/>
        </w:rPr>
        <w:t>מותר לפרסום בהשמטת פרטים מזהים ולאחר תיקוני הגהה ועריכה</w:t>
      </w:r>
      <w:r w:rsidRPr="00000D2F">
        <w:rPr>
          <w:rFonts w:ascii="FrankRuehl" w:hAnsi="FrankRuehl" w:cs="FrankRuehl" w:hint="cs"/>
          <w:b/>
          <w:bCs/>
          <w:noProof w:val="0"/>
          <w:sz w:val="28"/>
          <w:szCs w:val="28"/>
          <w:rtl/>
        </w:rPr>
        <w:t>.</w:t>
      </w:r>
    </w:p>
    <w:p w:rsidR="00694556" w:rsidRPr="00000D2F" w:rsidRDefault="0043502B" w:rsidP="00000D2F">
      <w:pPr>
        <w:spacing w:line="360" w:lineRule="auto"/>
        <w:jc w:val="both"/>
        <w:rPr>
          <w:rFonts w:ascii="FrankRuehl" w:hAnsi="FrankRuehl" w:cs="FrankRuehl"/>
          <w:noProof w:val="0"/>
          <w:sz w:val="28"/>
          <w:szCs w:val="28"/>
          <w:rtl/>
        </w:rPr>
      </w:pPr>
      <w:r w:rsidRPr="00000D2F">
        <w:rPr>
          <w:rFonts w:ascii="FrankRuehl" w:hAnsi="FrankRuehl" w:cs="FrankRuehl"/>
          <w:noProof w:val="0"/>
          <w:sz w:val="28"/>
          <w:szCs w:val="28"/>
          <w:rtl/>
        </w:rPr>
        <w:t>נית</w:t>
      </w:r>
      <w:r w:rsidR="00845768" w:rsidRPr="00000D2F">
        <w:rPr>
          <w:rFonts w:ascii="FrankRuehl" w:hAnsi="FrankRuehl" w:cs="FrankRuehl"/>
          <w:noProof w:val="0"/>
          <w:sz w:val="28"/>
          <w:szCs w:val="28"/>
          <w:rtl/>
        </w:rPr>
        <w:t>ן</w:t>
      </w:r>
      <w:r w:rsidR="00005C8B" w:rsidRPr="00000D2F">
        <w:rPr>
          <w:rFonts w:ascii="FrankRuehl" w:hAnsi="FrankRuehl" w:cs="FrankRuehl"/>
          <w:noProof w:val="0"/>
          <w:sz w:val="28"/>
          <w:szCs w:val="28"/>
          <w:rtl/>
        </w:rPr>
        <w:t xml:space="preserve"> היום, </w:t>
      </w:r>
      <w:sdt>
        <w:sdtPr>
          <w:rPr>
            <w:rFonts w:ascii="FrankRuehl" w:hAnsi="FrankRuehl" w:cs="FrankRuehl"/>
            <w:sz w:val="28"/>
            <w:szCs w:val="28"/>
            <w:rtl/>
          </w:rPr>
          <w:alias w:val="1455"/>
          <w:tag w:val="1455"/>
          <w:id w:val="1666048407"/>
          <w:text w:multiLine="1"/>
        </w:sdtPr>
        <w:sdtEndPr/>
        <w:sdtContent>
          <w:r>
            <w:rPr>
              <w:rFonts w:ascii="FrankRuehl" w:hAnsi="FrankRuehl" w:cs="FrankRuehl"/>
              <w:noProof w:val="0"/>
              <w:sz w:val="28"/>
              <w:szCs w:val="28"/>
              <w:rtl/>
            </w:rPr>
            <w:t>כ"ה אייר תשפ"ג</w:t>
          </w:r>
        </w:sdtContent>
      </w:sdt>
      <w:r w:rsidR="00005C8B" w:rsidRPr="00000D2F">
        <w:rPr>
          <w:rFonts w:ascii="FrankRuehl" w:hAnsi="FrankRuehl" w:cs="FrankRuehl"/>
          <w:noProof w:val="0"/>
          <w:sz w:val="28"/>
          <w:szCs w:val="28"/>
          <w:rtl/>
        </w:rPr>
        <w:t xml:space="preserve">, </w:t>
      </w:r>
      <w:sdt>
        <w:sdtPr>
          <w:rPr>
            <w:rFonts w:ascii="FrankRuehl" w:hAnsi="FrankRuehl" w:cs="FrankRuehl"/>
            <w:sz w:val="28"/>
            <w:szCs w:val="28"/>
            <w:rtl/>
          </w:rPr>
          <w:alias w:val="1456"/>
          <w:tag w:val="1456"/>
          <w:id w:val="-1186288958"/>
          <w:text w:multiLine="1"/>
        </w:sdtPr>
        <w:sdtEndPr/>
        <w:sdtContent>
          <w:r>
            <w:rPr>
              <w:rFonts w:ascii="FrankRuehl" w:hAnsi="FrankRuehl" w:cs="FrankRuehl"/>
              <w:noProof w:val="0"/>
              <w:sz w:val="28"/>
              <w:szCs w:val="28"/>
              <w:rtl/>
            </w:rPr>
            <w:t>16 מאי 2023</w:t>
          </w:r>
        </w:sdtContent>
      </w:sdt>
      <w:r w:rsidR="00005C8B" w:rsidRPr="00000D2F">
        <w:rPr>
          <w:rFonts w:ascii="FrankRuehl" w:hAnsi="FrankRuehl" w:cs="FrankRuehl"/>
          <w:noProof w:val="0"/>
          <w:sz w:val="28"/>
          <w:szCs w:val="28"/>
          <w:rtl/>
        </w:rPr>
        <w:t>, בהעדר הצדדים.</w:t>
      </w:r>
    </w:p>
    <w:p w:rsidR="00C43648" w:rsidRPr="00000D2F" w:rsidRDefault="009C1224" w:rsidP="00000D2F">
      <w:pPr>
        <w:tabs>
          <w:tab w:val="left" w:pos="2553"/>
        </w:tabs>
        <w:spacing w:line="360" w:lineRule="auto"/>
        <w:ind w:left="5040"/>
        <w:rPr>
          <w:rFonts w:ascii="FrankRuehl" w:hAnsi="FrankRuehl" w:cs="FrankRuehl"/>
          <w:sz w:val="28"/>
          <w:szCs w:val="28"/>
          <w:rtl/>
        </w:rPr>
      </w:pPr>
      <w:sdt>
        <w:sdtPr>
          <w:rPr>
            <w:rFonts w:ascii="FrankRuehl" w:hAnsi="FrankRuehl" w:cs="FrankRuehl"/>
            <w:sz w:val="28"/>
            <w:szCs w:val="28"/>
            <w:rtl/>
          </w:rPr>
          <w:alias w:val="2045"/>
          <w:tag w:val="2045"/>
          <w:id w:val="740689340"/>
          <w:placeholder>
            <w:docPart w:val="E460D38E05664FF79D4EFF282EF8EC99"/>
          </w:placeholder>
          <w:showingPlcHdr/>
          <w:text w:multiLine="1"/>
        </w:sdtPr>
        <w:sdtEndPr/>
        <w:sdtContent>
          <w:r w:rsidR="00C43648" w:rsidRPr="00000D2F">
            <w:rPr>
              <w:rFonts w:ascii="FrankRuehl" w:hAnsi="FrankRuehl" w:cs="FrankRuehl"/>
              <w:sz w:val="28"/>
              <w:szCs w:val="28"/>
              <w:rtl/>
            </w:rPr>
            <w:t xml:space="preserve">     </w:t>
          </w:r>
        </w:sdtContent>
      </w:sdt>
    </w:p>
    <w:p w:rsidR="00694556" w:rsidRPr="00000D2F" w:rsidRDefault="00BD6531" w:rsidP="00000D2F">
      <w:pPr>
        <w:tabs>
          <w:tab w:val="left" w:pos="2553"/>
        </w:tabs>
        <w:spacing w:line="360" w:lineRule="auto"/>
      </w:pPr>
      <w:r w:rsidRPr="00000D2F">
        <w:rPr>
          <w:rFonts w:ascii="FrankRuehl" w:hAnsi="FrankRuehl" w:cs="FrankRuehl"/>
          <w:sz w:val="28"/>
          <w:szCs w:val="28"/>
          <w:rtl/>
        </w:rPr>
        <w:tab/>
      </w:r>
      <w:r w:rsidRPr="00000D2F">
        <w:rPr>
          <w:rFonts w:ascii="FrankRuehl" w:hAnsi="FrankRuehl" w:cs="FrankRuehl"/>
          <w:sz w:val="28"/>
          <w:szCs w:val="28"/>
          <w:rtl/>
        </w:rPr>
        <w:tab/>
      </w:r>
      <w:r w:rsidRPr="00000D2F">
        <w:rPr>
          <w:rFonts w:ascii="FrankRuehl" w:hAnsi="FrankRuehl" w:cs="FrankRuehl"/>
          <w:sz w:val="28"/>
          <w:szCs w:val="28"/>
          <w:rtl/>
        </w:rPr>
        <w:tab/>
      </w:r>
      <w:r w:rsidRPr="00000D2F">
        <w:rPr>
          <w:rFonts w:ascii="FrankRuehl" w:hAnsi="FrankRuehl" w:cs="FrankRuehl"/>
          <w:sz w:val="28"/>
          <w:szCs w:val="28"/>
          <w:rtl/>
        </w:rPr>
        <w:tab/>
        <w:t xml:space="preserve">        </w:t>
      </w:r>
      <w:sdt>
        <w:sdtPr>
          <w:rPr>
            <w:rtl/>
          </w:rPr>
          <w:alias w:val="MergeField"/>
          <w:tag w:val="1237"/>
          <w:id w:val="558601783"/>
        </w:sdtPr>
        <w:sdtEndPr/>
        <w:sdtContent>
          <w:r w:rsidR="006D2DF1">
            <w:drawing>
              <wp:inline distT="0" distB="0" distL="0" distR="0" wp14:editId="50D07946">
                <wp:extent cx="1647825" cy="904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1647825" cy="904875"/>
                        </a:xfrm>
                        <a:prstGeom prst="rect">
                          <a:avLst/>
                        </a:prstGeom>
                      </pic:spPr>
                    </pic:pic>
                  </a:graphicData>
                </a:graphic>
              </wp:inline>
            </w:drawing>
          </w:r>
        </w:sdtContent>
      </w:sdt>
    </w:p>
    <w:p w:rsidR="00694556" w:rsidRPr="00000D2F" w:rsidRDefault="00694556" w:rsidP="00000D2F">
      <w:pPr>
        <w:tabs>
          <w:tab w:val="left" w:pos="2553"/>
        </w:tabs>
        <w:spacing w:line="360" w:lineRule="auto"/>
        <w:rPr>
          <w:rFonts w:ascii="FrankRuehl" w:hAnsi="FrankRuehl" w:cs="FrankRuehl"/>
          <w:noProof w:val="0"/>
          <w:sz w:val="28"/>
          <w:szCs w:val="28"/>
          <w:rtl/>
        </w:rPr>
      </w:pPr>
    </w:p>
    <w:sectPr w:rsidR="00694556" w:rsidRPr="00000D2F" w:rsidSect="00645B60">
      <w:headerReference w:type="default" r:id="rId15"/>
      <w:footerReference w:type="default" r:id="rId16"/>
      <w:pgSz w:w="11907" w:h="16840" w:code="9"/>
      <w:pgMar w:top="454" w:right="1701" w:bottom="1134"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2DF1" w:rsidRDefault="006D2DF1">
      <w:r>
        <w:separator/>
      </w:r>
    </w:p>
  </w:endnote>
  <w:endnote w:type="continuationSeparator" w:id="0">
    <w:p w:rsidR="006D2DF1" w:rsidRDefault="006D2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C122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C1224">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2DF1" w:rsidRDefault="006D2DF1">
      <w:r>
        <w:separator/>
      </w:r>
    </w:p>
  </w:footnote>
  <w:footnote w:type="continuationSeparator" w:id="0">
    <w:p w:rsidR="006D2DF1" w:rsidRDefault="006D2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9C1224">
    <w:pPr>
      <w:pStyle w:val="a3"/>
      <w:jc w:val="center"/>
      <w:rPr>
        <w:rFonts w:cs="FrankRuehl"/>
        <w:noProof w:val="0"/>
        <w:sz w:val="28"/>
        <w:szCs w:val="28"/>
        <w:rtl/>
      </w:rPr>
    </w:pPr>
    <w:r>
      <w:rPr>
        <w:rFonts w:cs="FrankRuehl"/>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left:0;text-align:left;margin-left:0;margin-top:0;width:478.1pt;height:86.95pt;rotation:315;z-index:251659264;mso-position-horizontal:center;mso-position-horizontal-relative:margin;mso-position-vertical:center;mso-position-vertical-relative:margin" fillcolor="silver" stroked="f">
          <v:stroke r:id="rId1" o:title=""/>
          <v:shadow color="#868686"/>
          <v:textpath style="font-family:&quot;Times New Roman&quot;;font-size:1pt;v-text-kern:t" trim="t" fitpath="t" string="."/>
          <o:lock v:ext="edit" aspectratio="t"/>
          <w10:wrap anchorx="margin" anchory="margin"/>
        </v:shape>
      </w:pict>
    </w:r>
    <w:r w:rsidR="00DC1259">
      <w:rPr>
        <w:rFonts w:cs="FrankRuehl"/>
        <w:sz w:val="28"/>
        <w:szCs w:val="28"/>
      </w:rPr>
      <w:drawing>
        <wp:inline distT="0" distB="0" distL="0" distR="0" wp14:anchorId="2535346B" wp14:editId="0528C5E4">
          <wp:extent cx="374015" cy="469265"/>
          <wp:effectExtent l="0" t="0" r="6985" b="6985"/>
          <wp:docPr id="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78472F">
      <w:trPr>
        <w:trHeight w:hRule="exact" w:val="704"/>
        <w:jc w:val="center"/>
      </w:trPr>
      <w:sdt>
        <w:sdtPr>
          <w:rPr>
            <w:rFonts w:ascii="Tahoma" w:hAnsi="Tahoma"/>
            <w:color w:val="000080"/>
            <w:sz w:val="32"/>
            <w:szCs w:val="32"/>
            <w:rtl/>
          </w:rPr>
          <w:alias w:val="1174"/>
          <w:tag w:val="1174"/>
          <w:id w:val="-1585920285"/>
          <w:text w:multiLine="1"/>
        </w:sdtPr>
        <w:sdtEndPr/>
        <w:sdtContent>
          <w:tc>
            <w:tcPr>
              <w:tcW w:w="8505"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rsidTr="0078472F">
      <w:trPr>
        <w:trHeight w:val="337"/>
        <w:jc w:val="center"/>
      </w:trPr>
      <w:tc>
        <w:tcPr>
          <w:tcW w:w="8505" w:type="dxa"/>
        </w:tcPr>
        <w:p w:rsidR="008D10B2" w:rsidRPr="00F320CC" w:rsidRDefault="009C1224" w:rsidP="006213E4">
          <w:pPr>
            <w:rPr>
              <w:rFonts w:ascii="FrankRuehl" w:hAnsi="FrankRuehl" w:cs="FrankRuehl"/>
              <w:b/>
              <w:bCs/>
              <w:noProof w:val="0"/>
              <w:sz w:val="28"/>
              <w:szCs w:val="28"/>
              <w:rtl/>
            </w:rPr>
          </w:pPr>
          <w:sdt>
            <w:sdtPr>
              <w:rPr>
                <w:rFonts w:ascii="FrankRuehl" w:hAnsi="FrankRuehl" w:cs="FrankRuehl"/>
                <w:sz w:val="28"/>
                <w:szCs w:val="28"/>
                <w:rtl/>
              </w:rPr>
              <w:alias w:val="1170"/>
              <w:tag w:val="1170"/>
              <w:id w:val="1066377040"/>
              <w:text w:multiLine="1"/>
            </w:sdtPr>
            <w:sdtEndPr/>
            <w:sdtContent>
              <w:r w:rsidR="00897DAF" w:rsidRPr="00F320CC">
                <w:rPr>
                  <w:rFonts w:ascii="FrankRuehl" w:hAnsi="FrankRuehl" w:cs="FrankRuehl"/>
                  <w:b/>
                  <w:bCs/>
                  <w:noProof w:val="0"/>
                  <w:sz w:val="28"/>
                  <w:szCs w:val="28"/>
                  <w:rtl/>
                </w:rPr>
                <w:t>תלה"מ</w:t>
              </w:r>
            </w:sdtContent>
          </w:sdt>
          <w:r w:rsidR="00005C8B" w:rsidRPr="00F320CC">
            <w:rPr>
              <w:rFonts w:ascii="FrankRuehl" w:hAnsi="FrankRuehl" w:cs="FrankRuehl"/>
              <w:b/>
              <w:bCs/>
              <w:noProof w:val="0"/>
              <w:sz w:val="28"/>
              <w:szCs w:val="28"/>
              <w:rtl/>
            </w:rPr>
            <w:t xml:space="preserve"> </w:t>
          </w:r>
          <w:sdt>
            <w:sdtPr>
              <w:rPr>
                <w:rFonts w:ascii="FrankRuehl" w:hAnsi="FrankRuehl" w:cs="FrankRuehl"/>
                <w:sz w:val="28"/>
                <w:szCs w:val="28"/>
                <w:rtl/>
              </w:rPr>
              <w:alias w:val="1171"/>
              <w:tag w:val="1171"/>
              <w:id w:val="257034231"/>
              <w:text w:multiLine="1"/>
            </w:sdtPr>
            <w:sdtEndPr/>
            <w:sdtContent>
              <w:r w:rsidR="00897DAF" w:rsidRPr="00F320CC">
                <w:rPr>
                  <w:rFonts w:ascii="FrankRuehl" w:hAnsi="FrankRuehl" w:cs="FrankRuehl"/>
                  <w:b/>
                  <w:bCs/>
                  <w:noProof w:val="0"/>
                  <w:sz w:val="28"/>
                  <w:szCs w:val="28"/>
                  <w:rtl/>
                </w:rPr>
                <w:t>58091-02-23</w:t>
              </w:r>
            </w:sdtContent>
          </w:sdt>
          <w:r w:rsidR="00005C8B" w:rsidRPr="00F320CC">
            <w:rPr>
              <w:rFonts w:ascii="FrankRuehl" w:hAnsi="FrankRuehl" w:cs="FrankRuehl"/>
              <w:b/>
              <w:bCs/>
              <w:noProof w:val="0"/>
              <w:sz w:val="28"/>
              <w:szCs w:val="28"/>
              <w:rtl/>
            </w:rPr>
            <w:t xml:space="preserve"> </w:t>
          </w:r>
          <w:sdt>
            <w:sdtPr>
              <w:rPr>
                <w:rFonts w:ascii="FrankRuehl" w:hAnsi="FrankRuehl" w:cs="FrankRuehl"/>
                <w:sz w:val="28"/>
                <w:szCs w:val="28"/>
                <w:rtl/>
              </w:rPr>
              <w:alias w:val="1172"/>
              <w:tag w:val="1172"/>
              <w:id w:val="-595170033"/>
              <w:text w:multiLine="1"/>
            </w:sdtPr>
            <w:sdtEndPr/>
            <w:sdtContent>
              <w:r w:rsidR="006213E4">
                <w:rPr>
                  <w:rFonts w:ascii="FrankRuehl" w:hAnsi="FrankRuehl" w:cs="FrankRuehl" w:hint="cs"/>
                  <w:b/>
                  <w:bCs/>
                  <w:noProof w:val="0"/>
                  <w:sz w:val="28"/>
                  <w:szCs w:val="28"/>
                  <w:rtl/>
                </w:rPr>
                <w:t>ת נ' ת'</w:t>
              </w:r>
            </w:sdtContent>
          </w:sdt>
          <w:r w:rsidR="001173C6" w:rsidRPr="00F320CC">
            <w:rPr>
              <w:rFonts w:ascii="FrankRuehl" w:hAnsi="FrankRuehl" w:cs="FrankRuehl"/>
              <w:sz w:val="28"/>
              <w:szCs w:val="28"/>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037872"/>
    <w:docVar w:name="CourtID" w:val="2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037872&amp;lt;/CaseID&amp;gt;_x000d__x000a_        &amp;lt;DocumentID&amp;gt;420799585&amp;lt;/DocumentID&amp;gt;_x000d__x000a_      &amp;lt;/dt_DocumentCase&amp;gt;_x000d__x000a_      &amp;lt;dt_Document diffgr:id=&amp;quot;dt_Document1&amp;quot; msdata:rowOrder=&amp;quot;0&amp;quot;&amp;gt;_x000d__x000a_        &amp;lt;DocumentID&amp;gt;420799585&amp;lt;/DocumentID&amp;gt;_x000d__x000a_        &amp;lt;DocumentMainID&amp;gt;0&amp;lt;/DocumentMainID&amp;gt;_x000d__x000a_        &amp;lt;CaseID&amp;gt;80037872&amp;lt;/CaseID&amp;gt;_x000d__x000a_        &amp;lt;DocumentIncludedDate&amp;gt;2023-09-05T13:58:24.6+03:00&amp;lt;/DocumentIncludedDate&amp;gt;_x000d__x000a_        &amp;lt;DocumentDesc&amp;gt;פסק דין  שניתנה ע&amp;quot;י  הילה גורביץ עובדיה&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9-05T13:58:24.6+03:00&amp;lt;/DocumentSavingDate&amp;gt;_x000d__x000a_        &amp;lt;DocumentChangeDate&amp;gt;2023-09-05T13:58:24.677+03:00&amp;lt;/DocumentChangeDate&amp;gt;_x000d__x000a_        &amp;lt;IsScanned&amp;gt;false&amp;lt;/IsScanned&amp;gt;_x000d__x000a_        &amp;lt;PageQuantity&amp;gt;0&amp;lt;/PageQuantity&amp;gt;_x000d__x000a_        &amp;lt;DocumentStatusID&amp;gt;2&amp;lt;/DocumentStatusID&amp;gt;_x000d__x000a_        &amp;lt;DocumentStatusChangeDate&amp;gt;2023-09-05T13:58:24.677+03:00&amp;lt;/DocumentStatusChangeDate&amp;gt;_x000d__x000a_        &amp;lt;TemplateVersionID&amp;gt;1&amp;lt;/TemplateVersionID&amp;gt;_x000d__x000a_        &amp;lt;DocumentChangeUserID&amp;gt;303910004@GOV.IL&amp;lt;/DocumentChangeUserID&amp;gt;_x000d__x000a_        &amp;lt;DocumentCreationUserID&amp;gt;303910004@GOV.IL&amp;lt;/DocumentCreationUserID&amp;gt;_x000d__x000a_        &amp;lt;OriginalDocumentID&amp;gt;410945800&amp;lt;/OriginalDocumentID&amp;gt;_x000d__x000a_        &amp;lt;PrivillegeID&amp;gt;2&amp;lt;/PrivillegeID&amp;gt;_x000d__x000a_        &amp;lt;FromPage&amp;gt;0&amp;lt;/FromPage&amp;gt;_x000d__x000a_        &amp;lt;ToPage&amp;gt;0&amp;lt;/ToPage&amp;gt;_x000d__x000a_        &amp;lt;FileID&amp;gt;5c57fe648a010000090037f6a7a29041&amp;lt;/FileID&amp;gt;_x000d__x000a_        &amp;lt;URL&amp;gt;\\CTLNFSV02\doc_repository\646\243\d1e09d1b3347499ab81f378c89e9cc79_copy.docx&amp;lt;/URL&amp;gt;_x000d__x000a_        &amp;lt;OlivePriority&amp;gt;1&amp;lt;/OlivePriority&amp;gt;_x000d__x000a_        &amp;lt;MetaDataTypeID&amp;gt;1&amp;lt;/MetaDataTypeID&amp;gt;_x000d__x000a_        &amp;lt;MetaDataChangeDate&amp;gt;2023-09-05T13:58:24.67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הילה גורביץ עובדיה&amp;amp;lt;/anyType&amp;amp;gt;_x000d__x000a_    &amp;amp;lt;anyType xsi:type=&amp;quot;xsd:dateTime&amp;quot;&amp;amp;gt;2023-05-16T11:11:13.2466136&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5-16T11:11:13.247+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0D2F"/>
    <w:rsid w:val="0000226B"/>
    <w:rsid w:val="00005C8B"/>
    <w:rsid w:val="000229A1"/>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A34DD"/>
    <w:rsid w:val="001B3D6B"/>
    <w:rsid w:val="001C4003"/>
    <w:rsid w:val="001D4DBF"/>
    <w:rsid w:val="001E75CA"/>
    <w:rsid w:val="002265FF"/>
    <w:rsid w:val="002304EC"/>
    <w:rsid w:val="00234943"/>
    <w:rsid w:val="00271B56"/>
    <w:rsid w:val="002B578A"/>
    <w:rsid w:val="002C344E"/>
    <w:rsid w:val="002C3F4A"/>
    <w:rsid w:val="002E75E9"/>
    <w:rsid w:val="00307A6A"/>
    <w:rsid w:val="00307C40"/>
    <w:rsid w:val="00320433"/>
    <w:rsid w:val="003230C7"/>
    <w:rsid w:val="00327E50"/>
    <w:rsid w:val="0033597A"/>
    <w:rsid w:val="00343D89"/>
    <w:rsid w:val="00351A8F"/>
    <w:rsid w:val="00362612"/>
    <w:rsid w:val="0036743F"/>
    <w:rsid w:val="003715DD"/>
    <w:rsid w:val="003823E0"/>
    <w:rsid w:val="003A14F6"/>
    <w:rsid w:val="003A4521"/>
    <w:rsid w:val="003D1C8C"/>
    <w:rsid w:val="0040096C"/>
    <w:rsid w:val="00414F1F"/>
    <w:rsid w:val="0043125D"/>
    <w:rsid w:val="0043502B"/>
    <w:rsid w:val="004443AC"/>
    <w:rsid w:val="00444B02"/>
    <w:rsid w:val="00451E28"/>
    <w:rsid w:val="00462C62"/>
    <w:rsid w:val="00465D36"/>
    <w:rsid w:val="004B582C"/>
    <w:rsid w:val="004C17EE"/>
    <w:rsid w:val="004C4BDF"/>
    <w:rsid w:val="004D1187"/>
    <w:rsid w:val="004D3AA0"/>
    <w:rsid w:val="004E1987"/>
    <w:rsid w:val="004E2E15"/>
    <w:rsid w:val="004E6E3C"/>
    <w:rsid w:val="00506B0B"/>
    <w:rsid w:val="00520898"/>
    <w:rsid w:val="00523621"/>
    <w:rsid w:val="00524986"/>
    <w:rsid w:val="005268F6"/>
    <w:rsid w:val="00534284"/>
    <w:rsid w:val="0053521A"/>
    <w:rsid w:val="00547DB7"/>
    <w:rsid w:val="00577190"/>
    <w:rsid w:val="005F034C"/>
    <w:rsid w:val="005F4F09"/>
    <w:rsid w:val="0061431B"/>
    <w:rsid w:val="006213E4"/>
    <w:rsid w:val="00622BAA"/>
    <w:rsid w:val="006306CF"/>
    <w:rsid w:val="00644E9A"/>
    <w:rsid w:val="00645B60"/>
    <w:rsid w:val="00671BD5"/>
    <w:rsid w:val="006805C1"/>
    <w:rsid w:val="00686C21"/>
    <w:rsid w:val="006931C1"/>
    <w:rsid w:val="00694556"/>
    <w:rsid w:val="006C30C5"/>
    <w:rsid w:val="006C4820"/>
    <w:rsid w:val="006D2DF1"/>
    <w:rsid w:val="006D3B31"/>
    <w:rsid w:val="006E0D96"/>
    <w:rsid w:val="006E1A53"/>
    <w:rsid w:val="006F56E6"/>
    <w:rsid w:val="00704EDA"/>
    <w:rsid w:val="00710D1F"/>
    <w:rsid w:val="00721122"/>
    <w:rsid w:val="00753019"/>
    <w:rsid w:val="00754801"/>
    <w:rsid w:val="00761441"/>
    <w:rsid w:val="0078472F"/>
    <w:rsid w:val="00795365"/>
    <w:rsid w:val="007A351D"/>
    <w:rsid w:val="007B7765"/>
    <w:rsid w:val="007C5BDD"/>
    <w:rsid w:val="007D45E3"/>
    <w:rsid w:val="007E6115"/>
    <w:rsid w:val="007F4609"/>
    <w:rsid w:val="00807A18"/>
    <w:rsid w:val="00814468"/>
    <w:rsid w:val="008176A1"/>
    <w:rsid w:val="00820005"/>
    <w:rsid w:val="00844318"/>
    <w:rsid w:val="00845768"/>
    <w:rsid w:val="00847A7A"/>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94341"/>
    <w:rsid w:val="00996935"/>
    <w:rsid w:val="009A6A7F"/>
    <w:rsid w:val="009C1224"/>
    <w:rsid w:val="009D1A48"/>
    <w:rsid w:val="009E1CE7"/>
    <w:rsid w:val="009E4EA5"/>
    <w:rsid w:val="009F0235"/>
    <w:rsid w:val="009F164B"/>
    <w:rsid w:val="009F323C"/>
    <w:rsid w:val="00A3392B"/>
    <w:rsid w:val="00A85E34"/>
    <w:rsid w:val="00A94B64"/>
    <w:rsid w:val="00AA3229"/>
    <w:rsid w:val="00AA7596"/>
    <w:rsid w:val="00AB5E52"/>
    <w:rsid w:val="00AC1527"/>
    <w:rsid w:val="00AC2F1D"/>
    <w:rsid w:val="00AC30D6"/>
    <w:rsid w:val="00AC3B02"/>
    <w:rsid w:val="00AC3B7B"/>
    <w:rsid w:val="00AC5209"/>
    <w:rsid w:val="00AD0E80"/>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47589"/>
    <w:rsid w:val="00C50A9F"/>
    <w:rsid w:val="00C642FA"/>
    <w:rsid w:val="00CC7622"/>
    <w:rsid w:val="00CD0633"/>
    <w:rsid w:val="00CD0A5D"/>
    <w:rsid w:val="00CD608F"/>
    <w:rsid w:val="00CF6BB7"/>
    <w:rsid w:val="00D04AA4"/>
    <w:rsid w:val="00D217B0"/>
    <w:rsid w:val="00D258C0"/>
    <w:rsid w:val="00D27982"/>
    <w:rsid w:val="00D33B86"/>
    <w:rsid w:val="00D44968"/>
    <w:rsid w:val="00D53924"/>
    <w:rsid w:val="00D55D0C"/>
    <w:rsid w:val="00D96D8C"/>
    <w:rsid w:val="00DA6649"/>
    <w:rsid w:val="00DC1259"/>
    <w:rsid w:val="00DC1BD2"/>
    <w:rsid w:val="00DC2571"/>
    <w:rsid w:val="00DC487C"/>
    <w:rsid w:val="00DE1E7D"/>
    <w:rsid w:val="00DE6BF6"/>
    <w:rsid w:val="00E0189C"/>
    <w:rsid w:val="00E04E84"/>
    <w:rsid w:val="00E077FD"/>
    <w:rsid w:val="00E1068A"/>
    <w:rsid w:val="00E25884"/>
    <w:rsid w:val="00E25B55"/>
    <w:rsid w:val="00E31C2B"/>
    <w:rsid w:val="00E537C9"/>
    <w:rsid w:val="00E5426A"/>
    <w:rsid w:val="00E54642"/>
    <w:rsid w:val="00E54CD9"/>
    <w:rsid w:val="00E80CBE"/>
    <w:rsid w:val="00E962E3"/>
    <w:rsid w:val="00EB6C79"/>
    <w:rsid w:val="00EC37E9"/>
    <w:rsid w:val="00EC6377"/>
    <w:rsid w:val="00EE23E0"/>
    <w:rsid w:val="00F038D8"/>
    <w:rsid w:val="00F06995"/>
    <w:rsid w:val="00F13623"/>
    <w:rsid w:val="00F320CC"/>
    <w:rsid w:val="00F44D1D"/>
    <w:rsid w:val="00F838F9"/>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NormalWeb">
    <w:name w:val="Normal (Web)"/>
    <w:basedOn w:val="a"/>
    <w:uiPriority w:val="99"/>
    <w:semiHidden/>
    <w:unhideWhenUsed/>
    <w:rsid w:val="00506B0B"/>
    <w:pPr>
      <w:bidi w:val="0"/>
      <w:spacing w:before="100" w:beforeAutospacing="1" w:after="100" w:afterAutospacing="1"/>
    </w:pPr>
    <w:rPr>
      <w:rFonts w:cs="Times New Roman"/>
      <w:noProof w:val="0"/>
    </w:rPr>
  </w:style>
  <w:style w:type="character" w:styleId="Hyperlink">
    <w:name w:val="Hyperlink"/>
    <w:basedOn w:val="a0"/>
    <w:uiPriority w:val="99"/>
    <w:semiHidden/>
    <w:unhideWhenUsed/>
    <w:rsid w:val="00000D2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689360">
      <w:bodyDiv w:val="1"/>
      <w:marLeft w:val="0"/>
      <w:marRight w:val="0"/>
      <w:marTop w:val="0"/>
      <w:marBottom w:val="0"/>
      <w:divBdr>
        <w:top w:val="none" w:sz="0" w:space="0" w:color="auto"/>
        <w:left w:val="none" w:sz="0" w:space="0" w:color="auto"/>
        <w:bottom w:val="none" w:sz="0" w:space="0" w:color="auto"/>
        <w:right w:val="none" w:sz="0" w:space="0" w:color="auto"/>
      </w:divBdr>
    </w:div>
    <w:div w:id="111204665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75357577">
      <w:bodyDiv w:val="1"/>
      <w:marLeft w:val="0"/>
      <w:marRight w:val="0"/>
      <w:marTop w:val="0"/>
      <w:marBottom w:val="0"/>
      <w:divBdr>
        <w:top w:val="none" w:sz="0" w:space="0" w:color="auto"/>
        <w:left w:val="none" w:sz="0" w:space="0" w:color="auto"/>
        <w:bottom w:val="none" w:sz="0" w:space="0" w:color="auto"/>
        <w:right w:val="none" w:sz="0" w:space="0" w:color="auto"/>
      </w:divBdr>
    </w:div>
    <w:div w:id="163829206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17928509" TargetMode="External"/><Relationship Id="rId13" Type="http://schemas.openxmlformats.org/officeDocument/2006/relationships/hyperlink" Target="http://www.nevo.co.il/case/6236910" TargetMode="External"/><Relationship Id="rId1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www.nevo.co.il/case/17931826" TargetMode="External"/><Relationship Id="rId12" Type="http://schemas.openxmlformats.org/officeDocument/2006/relationships/hyperlink" Target="http://www.nevo.co.il/case/6132714"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yperlink" Target="http://www.nevo.co.il/case/6155021"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nevo.co.il/case/5910674"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nevo.co.il/case/6054028" TargetMode="External"/><Relationship Id="rId14" Type="http://schemas.openxmlformats.org/officeDocument/2006/relationships/image" Target="media/image1.jp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E84404" w:rsidP="00E84404">
          <w:pPr>
            <w:pStyle w:val="E460D38E05664FF79D4EFF282EF8EC9925"/>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E84404"/>
    <w:rsid w:val="00F04DC1"/>
    <w:rsid w:val="00F678CA"/>
    <w:rsid w:val="00FD7717"/>
    <w:rsid w:val="00FF6A9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E8440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1723</Words>
  <Characters>7877</Characters>
  <Application>Microsoft Office Word</Application>
  <DocSecurity>4</DocSecurity>
  <Lines>169</Lines>
  <Paragraphs>32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2023-09-07T06:31:00Z</dcterms:created>
  <dcterms:modified xsi:type="dcterms:W3CDTF">2023-09-07T06:31:00Z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y fmtid="{D5CDD505-2E9C-101B-9397-08002B2CF9AE}" pid="4" name="GrammarlyDocumentId">
    <vt:lpwstr>024228af358abbb474cb6bac273d8597004dd177f7fa82c0f3e91c8d1a5d5fa8</vt:lpwstr>
  </property>
</Properties>
</file>